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E247BB">
        <w:rPr>
          <w:rFonts w:eastAsia="Times New Roman"/>
          <w:b/>
          <w:sz w:val="24"/>
          <w:szCs w:val="24"/>
          <w:lang w:val="sr-Cyrl-RS"/>
        </w:rPr>
        <w:t xml:space="preserve">ПРИЈАВА НА КОНКУРС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val="sr-Cyrl-RS"/>
        </w:rPr>
      </w:pPr>
      <w:r w:rsidRPr="00E247BB">
        <w:rPr>
          <w:rFonts w:eastAsia="Times New Roman"/>
          <w:sz w:val="24"/>
          <w:szCs w:val="24"/>
          <w:lang w:val="sr-Cyrl-CS"/>
        </w:rPr>
        <w:t>ЗА ДОДЕЛУ БЕСПОВРАТНИХ СРЕДСТАВА</w:t>
      </w:r>
      <w:r w:rsidRPr="00E247BB">
        <w:rPr>
          <w:rFonts w:eastAsia="Times New Roman"/>
          <w:sz w:val="24"/>
          <w:szCs w:val="24"/>
          <w:lang w:val="ru-RU"/>
        </w:rPr>
        <w:t xml:space="preserve"> </w:t>
      </w:r>
      <w:r w:rsidRPr="00E247BB">
        <w:rPr>
          <w:rFonts w:eastAsia="Times New Roman"/>
          <w:sz w:val="24"/>
          <w:szCs w:val="24"/>
          <w:lang w:val="sr-Cyrl-CS"/>
        </w:rPr>
        <w:t>ЦЕНТРИМА ЗА СОЦИЈАЛНИ РАД</w:t>
      </w:r>
      <w:r w:rsidRPr="00E247BB">
        <w:rPr>
          <w:rFonts w:eastAsia="Times New Roman"/>
          <w:color w:val="FF0000"/>
          <w:sz w:val="24"/>
          <w:szCs w:val="24"/>
          <w:lang w:val="sr-Cyrl-CS"/>
        </w:rPr>
        <w:t xml:space="preserve">  </w:t>
      </w:r>
      <w:r w:rsidRPr="00E247BB">
        <w:rPr>
          <w:rFonts w:eastAsia="Times New Roman"/>
          <w:sz w:val="24"/>
          <w:szCs w:val="24"/>
          <w:lang w:val="sr-Cyrl-CS"/>
        </w:rPr>
        <w:t xml:space="preserve">СА ТЕРИТОРИЈЕ АП ВОЈВОДИНЕ ЗА ФИНАНСИРАЊЕ АНГАЖОВАЊА КООРДИНАТОРА ЗА РОМСКА ПИТАЊА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E247BB">
        <w:rPr>
          <w:rFonts w:eastAsia="Times New Roman" w:cs="Arial"/>
          <w:b/>
          <w:lang w:val="sr-Cyrl-RS"/>
        </w:rPr>
        <w:t>Основни подаци о Центру за социјални рад (ЦСР)</w:t>
      </w:r>
    </w:p>
    <w:p w:rsidR="00E247BB" w:rsidRPr="00E247BB" w:rsidRDefault="00E247BB" w:rsidP="00E247B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5791"/>
      </w:tblGrid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Рачун у Управи за трезор: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Позив на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E247BB">
              <w:rPr>
                <w:rFonts w:cs="Arial"/>
                <w:lang w:val="sr-Cyrl-RS"/>
              </w:rPr>
              <w:t xml:space="preserve">Телефон и </w:t>
            </w:r>
            <w:r w:rsidRPr="00E247BB">
              <w:rPr>
                <w:rFonts w:cs="Arial"/>
                <w:lang w:val="sr-Latn-RS"/>
              </w:rPr>
              <w:t xml:space="preserve">email </w:t>
            </w:r>
            <w:r w:rsidRPr="00E247BB">
              <w:rPr>
                <w:rFonts w:cs="Arial"/>
                <w:lang w:val="sr-Cyrl-RS"/>
              </w:rPr>
              <w:t>контакт особе</w:t>
            </w:r>
            <w:r w:rsidRPr="00E247B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Одговорно лице у ЦСР: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Интернет страница</w:t>
            </w:r>
            <w:r w:rsidRPr="00E247BB">
              <w:rPr>
                <w:rFonts w:cs="Arial"/>
                <w:lang w:val="en-GB"/>
              </w:rPr>
              <w:t xml:space="preserve"> </w:t>
            </w:r>
            <w:r w:rsidRPr="00E247BB">
              <w:rPr>
                <w:rFonts w:cs="Arial"/>
                <w:lang w:val="sr-Cyrl-RS"/>
              </w:rPr>
              <w:t>ЦСР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lang w:val="sr-Latn-CS"/>
        </w:rPr>
      </w:pPr>
      <w:r w:rsidRPr="00E247BB">
        <w:rPr>
          <w:rFonts w:eastAsia="Times New Roman" w:cs="Arial"/>
          <w:b/>
          <w:lang w:val="sr-Latn-CS"/>
        </w:rPr>
        <w:t>Демограф</w:t>
      </w:r>
      <w:r w:rsidRPr="00E247BB">
        <w:rPr>
          <w:rFonts w:eastAsia="Times New Roman" w:cs="Arial"/>
          <w:b/>
          <w:lang w:val="sr-Cyrl-RS"/>
        </w:rPr>
        <w:t>ски подаци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E247BB" w:rsidRPr="00E247BB" w:rsidTr="00816013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E247B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E247BB" w:rsidRPr="00E247BB" w:rsidTr="00816013">
        <w:tc>
          <w:tcPr>
            <w:tcW w:w="4010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Latn-CS"/>
        </w:rPr>
        <w:t>Контакт особе за инклузију Рома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E247BB" w:rsidRPr="00E247BB" w:rsidTr="00816013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E247BB" w:rsidRPr="00E247BB" w:rsidTr="00816013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lastRenderedPageBreak/>
              <w:t>Координатор за ромска питања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З</w:t>
            </w:r>
            <w:r w:rsidRPr="00E247BB">
              <w:rPr>
                <w:rFonts w:eastAsia="Times New Roman" w:cs="Arial"/>
                <w:lang w:val="sr-Latn-CS" w:eastAsia="sr-Latn-RS"/>
              </w:rPr>
              <w:t>драв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ствени </w:t>
            </w:r>
            <w:r w:rsidRPr="00E247BB">
              <w:rPr>
                <w:rFonts w:eastAsia="Times New Roman" w:cs="Arial"/>
                <w:lang w:val="sr-Latn-CS" w:eastAsia="sr-Latn-RS"/>
              </w:rPr>
              <w:t>медијатор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</w:t>
            </w:r>
            <w:r w:rsidRPr="00E247B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 xml:space="preserve">Усвојени </w:t>
      </w:r>
      <w:r w:rsidRPr="00E247BB">
        <w:rPr>
          <w:rFonts w:eastAsia="Times New Roman" w:cs="Arial"/>
          <w:b/>
          <w:lang w:val="sr-Latn-CS"/>
        </w:rPr>
        <w:t>акциони планови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610"/>
        <w:gridCol w:w="2694"/>
        <w:gridCol w:w="2415"/>
      </w:tblGrid>
      <w:tr w:rsidR="00E247BB" w:rsidRPr="00E247BB" w:rsidTr="00816013">
        <w:trPr>
          <w:trHeight w:val="70"/>
        </w:trPr>
        <w:tc>
          <w:tcPr>
            <w:tcW w:w="27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28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59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Пројекти и програми у области инклузије Рома у периоду 201</w:t>
      </w:r>
      <w:r w:rsidR="00977851">
        <w:rPr>
          <w:rFonts w:eastAsia="Times New Roman" w:cs="Arial"/>
          <w:b/>
          <w:lang w:val="sr-Latn-RS"/>
        </w:rPr>
        <w:t>8</w:t>
      </w:r>
      <w:r w:rsidR="00977851">
        <w:rPr>
          <w:rFonts w:eastAsia="Times New Roman" w:cs="Arial"/>
          <w:b/>
          <w:lang w:val="sr-Cyrl-RS"/>
        </w:rPr>
        <w:t>-20</w:t>
      </w:r>
      <w:r w:rsidR="00977851">
        <w:rPr>
          <w:rFonts w:eastAsia="Times New Roman" w:cs="Arial"/>
          <w:b/>
        </w:rPr>
        <w:t>20</w:t>
      </w:r>
      <w:r w:rsidRPr="00E247BB">
        <w:rPr>
          <w:rFonts w:eastAsia="Times New Roman" w:cs="Arial"/>
          <w:b/>
          <w:lang w:val="sr-Latn-RS"/>
        </w:rPr>
        <w:t>.</w:t>
      </w:r>
      <w:r w:rsidRPr="00E247BB">
        <w:rPr>
          <w:rFonts w:eastAsia="Times New Roman" w:cs="Arial"/>
          <w:b/>
          <w:lang w:val="sr-Cyrl-RS"/>
        </w:rPr>
        <w:t xml:space="preserve"> године у којима је учествовао ЦСР/био партнер</w:t>
      </w:r>
    </w:p>
    <w:p w:rsidR="00E247BB" w:rsidRPr="00E247BB" w:rsidRDefault="00E247BB" w:rsidP="00E247B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E247BB" w:rsidRPr="00E247BB" w:rsidTr="00816013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E247B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Период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спрвовођења</w:t>
            </w:r>
          </w:p>
        </w:tc>
        <w:tc>
          <w:tcPr>
            <w:tcW w:w="2412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  <w:r w:rsidRPr="00E247BB">
        <w:rPr>
          <w:rFonts w:cs="Arial"/>
          <w:b/>
          <w:lang w:val="sr-Cyrl-RS"/>
        </w:rPr>
        <w:t>Преглед планираног утрошка финансијских средстава</w:t>
      </w: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5002"/>
      </w:tblGrid>
      <w:tr w:rsidR="00E247BB" w:rsidRPr="00E247BB" w:rsidTr="00816013">
        <w:trPr>
          <w:trHeight w:val="369"/>
        </w:trPr>
        <w:tc>
          <w:tcPr>
            <w:tcW w:w="10497" w:type="dxa"/>
            <w:gridSpan w:val="3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Наведите износ нето и бруто  зараде у динарима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1 месец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6 месеци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43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Бруто</w:t>
            </w:r>
          </w:p>
        </w:tc>
        <w:tc>
          <w:tcPr>
            <w:tcW w:w="2975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56"/>
        </w:trPr>
        <w:tc>
          <w:tcPr>
            <w:tcW w:w="5495" w:type="dxa"/>
            <w:gridSpan w:val="2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Укупан износ средстава која се траже од Секретаријата</w:t>
            </w:r>
          </w:p>
        </w:tc>
        <w:tc>
          <w:tcPr>
            <w:tcW w:w="5002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*Износ зараде ангажованог координатора за ромска питања треба да је у складу са актима Послодавца и не сме бити испод минималне зараде у Републици Србији.</w:t>
      </w: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ru-RU"/>
        </w:rPr>
      </w:pPr>
      <w:r w:rsidRPr="00E247BB">
        <w:rPr>
          <w:rFonts w:eastAsia="Times New Roman" w:cs="Arial"/>
          <w:b/>
          <w:lang w:val="sr-Cyrl-RS"/>
        </w:rPr>
        <w:t>Ангажовање координатора за ромска питања у ЦСР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0471"/>
      </w:tblGrid>
      <w:tr w:rsidR="00E247BB" w:rsidRPr="00E247BB" w:rsidTr="00816013">
        <w:trPr>
          <w:cantSplit/>
          <w:trHeight w:val="4223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60" w:line="240" w:lineRule="auto"/>
              <w:rPr>
                <w:rFonts w:cs="Arial"/>
                <w:lang w:val="sr-Cyrl-RS"/>
              </w:rPr>
            </w:pPr>
            <w:bookmarkStart w:id="0" w:name="_GoBack" w:colFirst="0" w:colLast="0"/>
            <w:r w:rsidRPr="00E247BB">
              <w:rPr>
                <w:rFonts w:cs="Arial"/>
                <w:lang w:val="sr-Cyrl-RS"/>
              </w:rPr>
              <w:lastRenderedPageBreak/>
              <w:t>Кратак опис потреба/проблема који захтевају ангажовање координатора за ромска питања:</w:t>
            </w:r>
          </w:p>
          <w:p w:rsidR="00E247BB" w:rsidRPr="00E247BB" w:rsidRDefault="00E247BB" w:rsidP="00E247BB">
            <w:pPr>
              <w:spacing w:after="60" w:line="240" w:lineRule="auto"/>
              <w:jc w:val="center"/>
              <w:rPr>
                <w:rFonts w:cs="Arial"/>
                <w:b/>
                <w:lang w:val="sr-Latn-RS"/>
              </w:rPr>
            </w:pPr>
          </w:p>
        </w:tc>
      </w:tr>
      <w:bookmarkEnd w:id="0"/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47BB" w:rsidRPr="00E247BB" w:rsidTr="00816013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247BB">
              <w:rPr>
                <w:rFonts w:eastAsia="Times New Roman"/>
                <w:lang w:val="sr-Cyrl-RS"/>
              </w:rPr>
              <w:t>Резултати који се очекују  ангажовањем координатора за ромска питања</w:t>
            </w:r>
            <w:r w:rsidRPr="00E247BB">
              <w:rPr>
                <w:rFonts w:eastAsia="Times New Roman"/>
                <w:lang w:val="sr-Latn-RS"/>
              </w:rPr>
              <w:t xml:space="preserve"> u </w:t>
            </w:r>
            <w:r w:rsidRPr="00E247BB">
              <w:rPr>
                <w:rFonts w:eastAsia="Times New Roman"/>
                <w:lang w:val="sr-Cyrl-RS"/>
              </w:rPr>
              <w:t>ЦСР: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247BB">
        <w:rPr>
          <w:rFonts w:eastAsia="Times New Roman"/>
          <w:b/>
          <w:lang w:val="sr-Cyrl-RS"/>
        </w:rPr>
        <w:t>Опис посла координатора за ромска питања</w:t>
      </w: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Cyrl-RS"/>
              </w:rPr>
            </w:pPr>
            <w:r w:rsidRPr="00E247BB">
              <w:rPr>
                <w:lang w:val="sr-Latn-RS"/>
              </w:rPr>
              <w:t>- Комуницира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ромском националном мањином - утврђује бројно стање, социјални статус, проблеме и потребе локалне ромске заједнице, као основу за израду ЛАП-а за Роме. 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Cyrl-RS"/>
              </w:rPr>
              <w:t>-</w:t>
            </w:r>
            <w:r w:rsidRPr="00E247BB">
              <w:rPr>
                <w:lang w:val="sr-Latn-RS"/>
              </w:rPr>
              <w:t xml:space="preserve"> Сарађује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представницима ЈЛС - подноси редовне извештаје, обраћа се за помоћ и сарадњу, указује не евентуалне проблеме са којима се сусреће у току рада  и предлаже решења.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Учествује у изради и имплементацији ЛАП-а за Роме.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Члан је радних група за израду и имплементацију ЛАП-а за Роме, води записнике и подноси редовне месечне извештаје представницима ЈЛС.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Иницира и припрема предлоге пројеката и програма чији циљ је унапређење положаја Рома у локалној средини.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Сарађује и комуницира са </w:t>
            </w:r>
            <w:r w:rsidRPr="00E247BB">
              <w:rPr>
                <w:lang w:val="sr-Cyrl-RS"/>
              </w:rPr>
              <w:t>Јединицом локалне самоуправе</w:t>
            </w:r>
            <w:r w:rsidRPr="00E247BB">
              <w:rPr>
                <w:lang w:val="sr-Latn-RS"/>
              </w:rPr>
              <w:t xml:space="preserve">, домовима здравља, школама, локалним ромским невладиним  организацијама, педагошким асистентима и здравственим медијаторкама у </w:t>
            </w:r>
            <w:r w:rsidRPr="00E247BB">
              <w:rPr>
                <w:lang w:val="sr-Latn-RS"/>
              </w:rPr>
              <w:lastRenderedPageBreak/>
              <w:t>општини у којој је ангажован.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Подноси редовне месечне извештаје о свом раду, програмима, пројектима </w:t>
            </w:r>
            <w:r w:rsidRPr="00E247BB">
              <w:rPr>
                <w:lang w:val="sr-Cyrl-RS"/>
              </w:rPr>
              <w:t>и</w:t>
            </w:r>
            <w:r w:rsidRPr="00E247BB">
              <w:rPr>
                <w:lang w:val="sr-Latn-RS"/>
              </w:rPr>
              <w:t xml:space="preserve"> имплементацији ЛАП-а за Роме Покрајинском секретаријату за </w:t>
            </w:r>
            <w:r w:rsidRPr="00E247BB">
              <w:rPr>
                <w:lang w:val="sr-Cyrl-RS"/>
              </w:rPr>
              <w:t xml:space="preserve">социјалну политику, демографију и равноправност полова </w:t>
            </w:r>
            <w:r w:rsidRPr="00E247BB">
              <w:rPr>
                <w:lang w:val="sr-Latn-RS"/>
              </w:rPr>
              <w:t xml:space="preserve">- Сектору за унапређење положаја Рома. </w:t>
            </w:r>
          </w:p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line="240" w:lineRule="auto"/>
        <w:rPr>
          <w:b/>
          <w:lang w:val="sr-Cyrl-RS"/>
        </w:rPr>
      </w:pPr>
      <w:r w:rsidRPr="00E247BB">
        <w:rPr>
          <w:b/>
          <w:lang w:val="sr-Cyrl-RS"/>
        </w:rPr>
        <w:t>Квалификације/услови за ангажовање координатора за ромска питања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b/>
                <w:lang w:val="sr-Cyrl-RS"/>
              </w:rPr>
              <w:t xml:space="preserve">- </w:t>
            </w:r>
            <w:r w:rsidRPr="00E247BB">
              <w:rPr>
                <w:lang w:val="sr-Cyrl-RS"/>
              </w:rPr>
              <w:t>Н</w:t>
            </w:r>
            <w:r w:rsidRPr="00E247BB">
              <w:rPr>
                <w:lang w:val="sr-Latn-RS"/>
              </w:rPr>
              <w:t>ајмање завршена тр</w:t>
            </w:r>
            <w:r w:rsidRPr="00E247BB">
              <w:rPr>
                <w:lang w:val="sr-Cyrl-RS"/>
              </w:rPr>
              <w:t>о</w:t>
            </w:r>
            <w:r w:rsidRPr="00E247BB">
              <w:rPr>
                <w:lang w:val="sr-Latn-RS"/>
              </w:rPr>
              <w:t xml:space="preserve">годишња/четворогодишња средња школа.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Предност је знање ромског, као и неког од страних језика.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Познавање мандата/надлежности и функционисања локалне управе је предност.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Познавање програма Декаде укључења Рома 20</w:t>
            </w:r>
            <w:r w:rsidRPr="00E247BB">
              <w:rPr>
                <w:lang w:val="sr-Cyrl-RS"/>
              </w:rPr>
              <w:t>15</w:t>
            </w:r>
            <w:r w:rsidRPr="00E247BB">
              <w:rPr>
                <w:lang w:val="sr-Latn-RS"/>
              </w:rPr>
              <w:t>-20</w:t>
            </w:r>
            <w:r w:rsidRPr="00E247BB">
              <w:rPr>
                <w:lang w:val="sr-Cyrl-RS"/>
              </w:rPr>
              <w:t>25</w:t>
            </w:r>
            <w:r w:rsidRPr="00E247BB">
              <w:rPr>
                <w:lang w:val="sr-Latn-RS"/>
              </w:rPr>
              <w:t>.</w:t>
            </w:r>
            <w:r w:rsidRPr="00E247BB">
              <w:rPr>
                <w:lang w:val="sr-Cyrl-RS"/>
              </w:rPr>
              <w:t xml:space="preserve"> </w:t>
            </w:r>
            <w:r w:rsidRPr="00E247BB">
              <w:rPr>
                <w:lang w:val="sr-Latn-RS"/>
              </w:rPr>
              <w:t xml:space="preserve">године.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Живот у локалној средини; блиска сарадња и познавање проблема локалне ромске популације.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Спосо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>ност и спремност на интензивну сарадњу и комуникацију са људима.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До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 xml:space="preserve">ре организационе способности.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Компјуте</w:t>
            </w:r>
            <w:r w:rsidRPr="00E247BB">
              <w:rPr>
                <w:lang w:val="sr-Cyrl-RS"/>
              </w:rPr>
              <w:t>р</w:t>
            </w:r>
            <w:r w:rsidRPr="00E247BB">
              <w:rPr>
                <w:lang w:val="sr-Latn-RS"/>
              </w:rPr>
              <w:t>ске вештине (Wоrd, интернет…).</w:t>
            </w:r>
          </w:p>
          <w:p w:rsidR="00E247BB" w:rsidRPr="00E247BB" w:rsidRDefault="00E247BB" w:rsidP="00E247BB">
            <w:pPr>
              <w:spacing w:line="240" w:lineRule="auto"/>
              <w:rPr>
                <w:b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ind w:left="360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  <w:r w:rsidRPr="00E247BB">
        <w:rPr>
          <w:rFonts w:eastAsia="Times New Roman"/>
          <w:lang w:val="ru-RU"/>
        </w:rPr>
        <w:t xml:space="preserve">       Место  и датум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ru-RU"/>
        </w:rPr>
        <w:tab/>
        <w:t xml:space="preserve">       </w:t>
      </w:r>
      <w:r w:rsidRPr="00E247BB">
        <w:rPr>
          <w:rFonts w:eastAsia="Times New Roman"/>
          <w:lang w:val="sr-Cyrl-RS"/>
        </w:rPr>
        <w:t xml:space="preserve">     </w:t>
      </w:r>
      <w:r w:rsidRPr="00E247BB">
        <w:rPr>
          <w:rFonts w:eastAsia="Times New Roman"/>
          <w:lang w:val="ru-RU"/>
        </w:rPr>
        <w:t xml:space="preserve"> </w:t>
      </w:r>
      <w:r w:rsidRPr="00E247BB">
        <w:rPr>
          <w:rFonts w:eastAsia="Times New Roman"/>
          <w:lang w:val="sr-Cyrl-RS"/>
        </w:rPr>
        <w:t xml:space="preserve">             </w:t>
      </w:r>
      <w:r w:rsidRPr="00E247BB">
        <w:rPr>
          <w:rFonts w:eastAsia="Times New Roman"/>
          <w:lang w:val="ru-RU"/>
        </w:rPr>
        <w:t>М.П.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</w:t>
      </w:r>
      <w:r w:rsidRPr="00E247BB">
        <w:rPr>
          <w:rFonts w:eastAsia="Times New Roman"/>
          <w:lang w:val="ru-RU"/>
        </w:rPr>
        <w:t>Потпис овлашћеног лица</w:t>
      </w: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sr-Latn-CS"/>
        </w:rPr>
      </w:pPr>
      <w:r w:rsidRPr="00E247BB">
        <w:rPr>
          <w:rFonts w:eastAsia="Times New Roman"/>
          <w:lang w:val="ru-RU"/>
        </w:rPr>
        <w:t>____________________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                                             </w:t>
      </w:r>
      <w:r w:rsidRPr="00E247BB">
        <w:rPr>
          <w:rFonts w:eastAsia="Times New Roman"/>
          <w:lang w:val="ru-RU"/>
        </w:rPr>
        <w:t>____________________</w:t>
      </w: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977851">
            <w:rPr>
              <w:color w:val="000000"/>
              <w:sz w:val="16"/>
              <w:szCs w:val="16"/>
              <w:lang w:val="sr-Latn-RS"/>
            </w:rPr>
            <w:t>1793/2021</w:t>
          </w:r>
          <w:r w:rsidR="005F3809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70739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977851">
            <w:rPr>
              <w:color w:val="000000"/>
              <w:sz w:val="16"/>
              <w:szCs w:val="16"/>
            </w:rPr>
            <w:t xml:space="preserve"> 07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977851">
            <w:rPr>
              <w:sz w:val="16"/>
              <w:szCs w:val="16"/>
              <w:lang w:val="sr-Latn-RS"/>
            </w:rPr>
            <w:t>04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977851">
            <w:rPr>
              <w:color w:val="000000"/>
              <w:sz w:val="16"/>
              <w:szCs w:val="16"/>
              <w:lang w:val="sr-Latn-RS"/>
            </w:rPr>
            <w:t>21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761D1"/>
    <w:rsid w:val="003025C6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77851"/>
    <w:rsid w:val="009C2BAB"/>
    <w:rsid w:val="00A22FEC"/>
    <w:rsid w:val="00A675D1"/>
    <w:rsid w:val="00A95D9A"/>
    <w:rsid w:val="00AD783E"/>
    <w:rsid w:val="00B16F0A"/>
    <w:rsid w:val="00B361F0"/>
    <w:rsid w:val="00BA4709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247BB"/>
    <w:rsid w:val="00E7100A"/>
    <w:rsid w:val="00E74B97"/>
    <w:rsid w:val="00F25DF8"/>
    <w:rsid w:val="00F40A3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6</cp:revision>
  <cp:lastPrinted>2018-08-14T14:27:00Z</cp:lastPrinted>
  <dcterms:created xsi:type="dcterms:W3CDTF">2020-03-10T15:03:00Z</dcterms:created>
  <dcterms:modified xsi:type="dcterms:W3CDTF">2021-04-04T10:18:00Z</dcterms:modified>
</cp:coreProperties>
</file>