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BC344B">
        <w:rPr>
          <w:rFonts w:eastAsia="Times New Roman"/>
          <w:b/>
          <w:sz w:val="24"/>
          <w:szCs w:val="24"/>
          <w:lang w:val="sr-Cyrl-CS"/>
        </w:rPr>
        <w:t>ПРИЈАВА НА КОНКУРС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  <w:bookmarkStart w:id="0" w:name="_GoBack"/>
      <w:bookmarkEnd w:id="0"/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5647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BC344B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lastRenderedPageBreak/>
              <w:t>Врста програма из текста Конкурса  (заокружити само ЈЕДНО од понуђеног)</w:t>
            </w:r>
          </w:p>
        </w:tc>
      </w:tr>
      <w:tr w:rsidR="00BC344B" w:rsidRPr="00BC344B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суфинансирање израде локалних акционих планова за унапређење положаја Рома у укупном износу од </w:t>
            </w:r>
            <w:r w:rsidRPr="00BC344B">
              <w:rPr>
                <w:rFonts w:ascii="Verdana" w:eastAsia="Times New Roman" w:hAnsi="Verdana" w:cs="Tahoma"/>
                <w:bCs/>
                <w:lang w:val="sr-Latn-RS"/>
              </w:rPr>
              <w:t>1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.000.000,00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реализацију локалних акционих планова за унапређење положаја Рома из области становања у износу од 1.</w:t>
            </w:r>
            <w:r w:rsidRPr="00BC344B">
              <w:rPr>
                <w:rFonts w:ascii="Verdana" w:eastAsia="Times New Roman" w:hAnsi="Verdana" w:cs="Tahoma"/>
                <w:bCs/>
                <w:lang w:val="sr-Latn-RS"/>
              </w:rPr>
              <w:t>2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00.000,00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BC344B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BC344B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BC344B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BC344B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707394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201</w:t>
            </w:r>
            <w:r w:rsidR="00707394">
              <w:rPr>
                <w:rFonts w:eastAsia="Times New Roman" w:cs="Arial"/>
                <w:lang w:val="sr-Latn-CS" w:eastAsia="sr-Latn-RS"/>
              </w:rPr>
              <w:t>8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BC344B" w:rsidP="00707394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201</w:t>
            </w:r>
            <w:r w:rsidR="00707394">
              <w:rPr>
                <w:rFonts w:eastAsia="Times New Roman" w:cs="Arial"/>
                <w:lang w:val="sr-Latn-CS" w:eastAsia="sr-Latn-RS"/>
              </w:rPr>
              <w:t>9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lastRenderedPageBreak/>
        <w:t>Пројекти и програми у области инклузије Рома у периоду 201</w:t>
      </w:r>
      <w:r w:rsidRPr="00BC344B">
        <w:rPr>
          <w:rFonts w:eastAsia="Times New Roman" w:cs="Arial"/>
          <w:b/>
          <w:lang w:val="sr-Latn-RS"/>
        </w:rPr>
        <w:t>6</w:t>
      </w:r>
      <w:r w:rsidRPr="00BC344B">
        <w:rPr>
          <w:rFonts w:eastAsia="Times New Roman" w:cs="Arial"/>
          <w:b/>
          <w:lang w:val="sr-Cyrl-RS"/>
        </w:rPr>
        <w:t>-201</w:t>
      </w:r>
      <w:r w:rsidRPr="00BC344B">
        <w:rPr>
          <w:rFonts w:eastAsia="Times New Roman" w:cs="Arial"/>
          <w:b/>
          <w:lang w:val="sr-Latn-RS"/>
        </w:rPr>
        <w:t>8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BC344B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BC344B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BC344B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BC344B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5F3809">
            <w:rPr>
              <w:color w:val="000000"/>
              <w:sz w:val="16"/>
              <w:szCs w:val="16"/>
              <w:lang w:val="sr-Latn-RS"/>
            </w:rPr>
            <w:t>230</w:t>
          </w:r>
          <w:r w:rsidR="000649B7">
            <w:rPr>
              <w:color w:val="000000"/>
              <w:sz w:val="16"/>
              <w:szCs w:val="16"/>
              <w:lang w:val="sr-Latn-RS"/>
            </w:rPr>
            <w:t>1</w:t>
          </w:r>
          <w:r w:rsidR="005F3809">
            <w:rPr>
              <w:color w:val="000000"/>
              <w:sz w:val="16"/>
              <w:szCs w:val="16"/>
              <w:lang w:val="sr-Latn-RS"/>
            </w:rPr>
            <w:t>/2020-04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70739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</w:rPr>
            <w:t>1</w:t>
          </w:r>
          <w:r w:rsidR="00707394">
            <w:rPr>
              <w:color w:val="000000"/>
              <w:sz w:val="16"/>
              <w:szCs w:val="16"/>
            </w:rPr>
            <w:t>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707394">
            <w:rPr>
              <w:sz w:val="16"/>
              <w:szCs w:val="16"/>
              <w:lang w:val="sr-Latn-RS"/>
            </w:rPr>
            <w:t>03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707394">
            <w:rPr>
              <w:color w:val="000000"/>
              <w:sz w:val="16"/>
              <w:szCs w:val="16"/>
              <w:lang w:val="sr-Latn-RS"/>
            </w:rPr>
            <w:t>20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649B7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6BF566"/>
  <w15:docId w15:val="{825FFF77-3669-47D4-BED0-3DA67294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2018-08-14T14:27:00Z</cp:lastPrinted>
  <dcterms:created xsi:type="dcterms:W3CDTF">2020-03-10T14:43:00Z</dcterms:created>
  <dcterms:modified xsi:type="dcterms:W3CDTF">2020-03-10T15:08:00Z</dcterms:modified>
</cp:coreProperties>
</file>