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84" w:rsidRDefault="00B55784" w:rsidP="00000121">
      <w:pPr>
        <w:autoSpaceDE/>
        <w:jc w:val="center"/>
        <w:rPr>
          <w:rFonts w:ascii="Calibri" w:hAnsi="Calibri"/>
          <w:b/>
          <w:sz w:val="22"/>
          <w:lang w:val="sr-Cyrl-CS"/>
        </w:rPr>
      </w:pPr>
      <w:r>
        <w:rPr>
          <w:rFonts w:ascii="Calibri" w:hAnsi="Calibri"/>
          <w:b/>
          <w:sz w:val="22"/>
          <w:lang w:val="sr-Cyrl-CS"/>
        </w:rPr>
        <w:t xml:space="preserve">УПУТСТВО ЗА ИЗРАДУ ИЗВЕШТАЈА О </w:t>
      </w:r>
      <w:r w:rsidR="00E506A2">
        <w:rPr>
          <w:rFonts w:ascii="Calibri" w:hAnsi="Calibri"/>
          <w:b/>
          <w:sz w:val="22"/>
          <w:lang w:val="sr-Cyrl-CS"/>
        </w:rPr>
        <w:t>НАМЕНСКОМ КОРИШЋЕЊУ СРЕДСТАВА</w:t>
      </w:r>
    </w:p>
    <w:p w:rsidR="00B55784" w:rsidRDefault="00B55784" w:rsidP="00B55784">
      <w:pPr>
        <w:autoSpaceDE/>
        <w:rPr>
          <w:rFonts w:ascii="Calibri" w:hAnsi="Calibri"/>
          <w:b/>
          <w:sz w:val="22"/>
          <w:lang w:val="sr-Cyrl-CS"/>
        </w:rPr>
      </w:pPr>
    </w:p>
    <w:p w:rsidR="00B55784" w:rsidRDefault="00B55784" w:rsidP="00B55784">
      <w:pPr>
        <w:autoSpaceDE/>
        <w:rPr>
          <w:rFonts w:ascii="Calibri" w:hAnsi="Calibri"/>
          <w:b/>
          <w:sz w:val="22"/>
          <w:lang w:val="sr-Cyrl-CS"/>
        </w:rPr>
      </w:pPr>
    </w:p>
    <w:p w:rsidR="00B55784" w:rsidRDefault="00B55784" w:rsidP="00B55784">
      <w:pPr>
        <w:autoSpaceDE/>
        <w:jc w:val="both"/>
        <w:rPr>
          <w:rFonts w:ascii="Calibri" w:hAnsi="Calibri"/>
          <w:sz w:val="22"/>
          <w:lang w:val="sr-Latn-RS"/>
        </w:rPr>
      </w:pPr>
      <w:r>
        <w:rPr>
          <w:rFonts w:ascii="Calibri" w:hAnsi="Calibri"/>
          <w:b/>
          <w:sz w:val="22"/>
          <w:lang w:val="sr-Cyrl-CS"/>
        </w:rPr>
        <w:t>Овлашћено  лице за заступање</w:t>
      </w:r>
      <w:r>
        <w:rPr>
          <w:rFonts w:ascii="Calibri" w:hAnsi="Calibri"/>
          <w:sz w:val="22"/>
          <w:lang w:val="sr-Cyrl-CS"/>
        </w:rPr>
        <w:t xml:space="preserve"> организације која је финансијски подржана за реализацију пројекта одабраног на јавном конкурсу </w:t>
      </w:r>
      <w:r>
        <w:rPr>
          <w:rFonts w:ascii="Calibri" w:hAnsi="Calibri"/>
          <w:b/>
          <w:sz w:val="22"/>
          <w:lang w:val="sr-Cyrl-CS"/>
        </w:rPr>
        <w:t>подноси извештај</w:t>
      </w:r>
      <w:r>
        <w:rPr>
          <w:rFonts w:ascii="Calibri" w:hAnsi="Calibri"/>
          <w:sz w:val="22"/>
          <w:lang w:val="sr-Cyrl-CS"/>
        </w:rPr>
        <w:t xml:space="preserve"> </w:t>
      </w:r>
      <w:r w:rsidR="00E506A2">
        <w:rPr>
          <w:rFonts w:ascii="Calibri" w:hAnsi="Calibri"/>
          <w:b/>
          <w:sz w:val="22"/>
          <w:lang w:val="sr-Cyrl-CS"/>
        </w:rPr>
        <w:t xml:space="preserve">о наменском коришћењу средстава </w:t>
      </w:r>
      <w:r w:rsidR="00E506A2">
        <w:rPr>
          <w:rFonts w:ascii="Calibri" w:hAnsi="Calibri"/>
          <w:sz w:val="22"/>
          <w:lang w:val="sr-Cyrl-CS"/>
        </w:rPr>
        <w:t>на</w:t>
      </w:r>
      <w:r>
        <w:rPr>
          <w:rFonts w:ascii="Calibri" w:hAnsi="Calibri"/>
          <w:sz w:val="22"/>
          <w:lang w:val="sr-Cyrl-CS"/>
        </w:rPr>
        <w:t xml:space="preserve"> </w:t>
      </w:r>
      <w:r w:rsidRPr="00E506A2">
        <w:rPr>
          <w:rFonts w:ascii="Calibri" w:hAnsi="Calibri"/>
          <w:b/>
          <w:sz w:val="22"/>
          <w:lang w:val="sr-Cyrl-CS"/>
        </w:rPr>
        <w:t>прописаним обрасцима</w:t>
      </w:r>
      <w:r>
        <w:rPr>
          <w:rFonts w:ascii="Calibri" w:hAnsi="Calibri"/>
          <w:sz w:val="22"/>
          <w:lang w:val="sr-Cyrl-CS"/>
        </w:rPr>
        <w:t xml:space="preserve"> које оверава печатом и својим потписом, а у складу са овим упутством.</w:t>
      </w:r>
    </w:p>
    <w:p w:rsidR="00D529F0" w:rsidRDefault="00D529F0" w:rsidP="00B55784">
      <w:pPr>
        <w:autoSpaceDE/>
        <w:jc w:val="both"/>
        <w:rPr>
          <w:rFonts w:ascii="Calibri" w:hAnsi="Calibri"/>
          <w:sz w:val="22"/>
          <w:lang w:val="sr-Latn-RS"/>
        </w:rPr>
      </w:pPr>
    </w:p>
    <w:p w:rsidR="00B55784" w:rsidRPr="008956C6" w:rsidRDefault="008956C6" w:rsidP="00D529F0">
      <w:pPr>
        <w:autoSpaceDE/>
        <w:jc w:val="both"/>
        <w:rPr>
          <w:rFonts w:ascii="Calibri" w:hAnsi="Calibri"/>
          <w:sz w:val="22"/>
          <w:lang w:val="sr-Cyrl-RS"/>
        </w:rPr>
      </w:pPr>
      <w:r>
        <w:rPr>
          <w:rFonts w:ascii="Calibri" w:hAnsi="Calibri"/>
          <w:sz w:val="22"/>
          <w:lang w:val="sr-Cyrl-RS"/>
        </w:rPr>
        <w:t>Прописан</w:t>
      </w:r>
      <w:r>
        <w:rPr>
          <w:rFonts w:ascii="Calibri" w:hAnsi="Calibri"/>
          <w:sz w:val="22"/>
          <w:lang w:val="sr-Latn-RS"/>
        </w:rPr>
        <w:t>e</w:t>
      </w:r>
      <w:r>
        <w:rPr>
          <w:rFonts w:ascii="Calibri" w:hAnsi="Calibri"/>
          <w:sz w:val="22"/>
          <w:lang w:val="sr-Cyrl-RS"/>
        </w:rPr>
        <w:t xml:space="preserve"> обрасце</w:t>
      </w:r>
      <w:r w:rsidR="00D529F0">
        <w:rPr>
          <w:rFonts w:ascii="Calibri" w:hAnsi="Calibri"/>
          <w:sz w:val="22"/>
          <w:lang w:val="sr-Cyrl-RS"/>
        </w:rPr>
        <w:t xml:space="preserve"> за извештај о </w:t>
      </w:r>
      <w:r w:rsidR="00E506A2">
        <w:rPr>
          <w:rFonts w:ascii="Calibri" w:hAnsi="Calibri"/>
          <w:sz w:val="22"/>
          <w:lang w:val="sr-Cyrl-RS"/>
        </w:rPr>
        <w:t>наменском коришћењу средстава</w:t>
      </w:r>
      <w:r w:rsidR="00D529F0">
        <w:rPr>
          <w:rFonts w:ascii="Calibri" w:hAnsi="Calibri"/>
          <w:sz w:val="22"/>
          <w:lang w:val="sr-Cyrl-RS"/>
        </w:rPr>
        <w:t xml:space="preserve"> можете пронаћи на сајту </w:t>
      </w:r>
      <w:hyperlink r:id="rId8" w:history="1">
        <w:r w:rsidR="00D529F0" w:rsidRPr="008F0388">
          <w:rPr>
            <w:rStyle w:val="Hyperlink"/>
            <w:rFonts w:ascii="Calibri" w:hAnsi="Calibri"/>
            <w:sz w:val="22"/>
            <w:lang w:val="en-US"/>
          </w:rPr>
          <w:t>www.socijalnapolitika.vojvodina.gov.rs</w:t>
        </w:r>
      </w:hyperlink>
      <w:r w:rsidR="00D529F0">
        <w:rPr>
          <w:rFonts w:ascii="Calibri" w:hAnsi="Calibri"/>
          <w:sz w:val="22"/>
          <w:lang w:val="en-US"/>
        </w:rPr>
        <w:t xml:space="preserve"> – </w:t>
      </w:r>
      <w:r w:rsidR="00C85CBA">
        <w:rPr>
          <w:rFonts w:ascii="Calibri" w:hAnsi="Calibri"/>
          <w:sz w:val="22"/>
          <w:lang w:val="sr-Cyrl-RS"/>
        </w:rPr>
        <w:t>Документа</w:t>
      </w:r>
      <w:r w:rsidR="00D529F0">
        <w:rPr>
          <w:rFonts w:ascii="Calibri" w:hAnsi="Calibri"/>
          <w:sz w:val="22"/>
          <w:lang w:val="en-US"/>
        </w:rPr>
        <w:t>– O</w:t>
      </w:r>
      <w:r w:rsidR="00D529F0">
        <w:rPr>
          <w:rFonts w:ascii="Calibri" w:hAnsi="Calibri"/>
          <w:sz w:val="22"/>
          <w:lang w:val="sr-Cyrl-RS"/>
        </w:rPr>
        <w:t>брасци за извештаје о реализацији конкурса</w:t>
      </w:r>
      <w:r>
        <w:rPr>
          <w:rFonts w:ascii="Calibri" w:hAnsi="Calibri"/>
          <w:sz w:val="22"/>
          <w:lang w:val="sr-Cyrl-RS"/>
        </w:rPr>
        <w:t xml:space="preserve"> – Образац за наративни извештај о реализацији пројекта и Образац за финансијски извештај о реализацији пројекта.</w:t>
      </w:r>
    </w:p>
    <w:p w:rsidR="00D529F0" w:rsidRPr="00D529F0" w:rsidRDefault="00D529F0" w:rsidP="00D529F0">
      <w:pPr>
        <w:autoSpaceDE/>
        <w:jc w:val="both"/>
        <w:rPr>
          <w:rFonts w:ascii="Calibri" w:hAnsi="Calibri"/>
          <w:sz w:val="22"/>
          <w:szCs w:val="22"/>
          <w:lang w:val="sr-Cyrl-RS"/>
        </w:rPr>
      </w:pPr>
    </w:p>
    <w:p w:rsidR="00B55784" w:rsidRDefault="00B55784" w:rsidP="00B55784">
      <w:pPr>
        <w:numPr>
          <w:ilvl w:val="0"/>
          <w:numId w:val="1"/>
        </w:numPr>
        <w:autoSpaceDE/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bCs/>
          <w:lang w:val="sr-Cyrl-RS"/>
        </w:rPr>
        <w:t xml:space="preserve">Извештаји који као доказ о реализованим трошковима садрже изводе са пословних банака неће бити признавани и средства ће морати бити у потпуности враћена. </w:t>
      </w:r>
    </w:p>
    <w:p w:rsidR="00B55784" w:rsidRDefault="00B55784" w:rsidP="00B55784">
      <w:pPr>
        <w:numPr>
          <w:ilvl w:val="0"/>
          <w:numId w:val="1"/>
        </w:numPr>
        <w:autoSpaceDE/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bCs/>
          <w:lang w:val="sr-Cyrl-RS"/>
        </w:rPr>
        <w:t>Трошкови који се могу признати морају бити извршени у периоду од момента преноса средстава до рока дефинисаног уговором за завршетак пројекта.</w:t>
      </w:r>
    </w:p>
    <w:p w:rsidR="00B55784" w:rsidRDefault="00B55784" w:rsidP="00B55784">
      <w:pPr>
        <w:numPr>
          <w:ilvl w:val="0"/>
          <w:numId w:val="1"/>
        </w:numPr>
        <w:autoSpaceDE/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lang w:val="sr-Cyrl-CS"/>
        </w:rPr>
        <w:t xml:space="preserve">Финансијски извештаји који не садрже све потребне елементе биће враћени на допуну. </w:t>
      </w:r>
    </w:p>
    <w:p w:rsidR="00B55784" w:rsidRDefault="00B55784" w:rsidP="00B55784">
      <w:pPr>
        <w:numPr>
          <w:ilvl w:val="0"/>
          <w:numId w:val="1"/>
        </w:numPr>
        <w:autoSpaceDE/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lang w:val="sr-Cyrl-CS"/>
        </w:rPr>
        <w:t>За сва неоправдана средства биће затражен повраћај средстава.</w:t>
      </w:r>
    </w:p>
    <w:p w:rsidR="00B55784" w:rsidRDefault="00B55784" w:rsidP="00B55784">
      <w:pPr>
        <w:autoSpaceDE/>
        <w:jc w:val="both"/>
        <w:rPr>
          <w:rFonts w:ascii="Calibri" w:hAnsi="Calibri"/>
          <w:b/>
          <w:bCs/>
          <w:lang w:val="sr-Cyrl-RS"/>
        </w:rPr>
      </w:pPr>
    </w:p>
    <w:p w:rsidR="00B55784" w:rsidRDefault="00B55784" w:rsidP="009B3904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У табели која следи дата је спецификација докумената који се подразумевају као књиговодствена документација за правдање најчешће планираних  трошкова за реализацију пројеката при чему напомињемо следеће:</w:t>
      </w:r>
    </w:p>
    <w:p w:rsidR="00B55784" w:rsidRDefault="00B55784" w:rsidP="00B55784">
      <w:pPr>
        <w:autoSpaceDE/>
        <w:jc w:val="both"/>
        <w:rPr>
          <w:rFonts w:ascii="Calibri" w:hAnsi="Calibri"/>
          <w:sz w:val="22"/>
          <w:szCs w:val="22"/>
          <w:lang w:val="sr-Cyrl-CS"/>
        </w:rPr>
      </w:pPr>
    </w:p>
    <w:p w:rsidR="00B55784" w:rsidRPr="00B55784" w:rsidRDefault="00B55784" w:rsidP="00B55784">
      <w:pPr>
        <w:pStyle w:val="ListParagraph"/>
        <w:numPr>
          <w:ilvl w:val="0"/>
          <w:numId w:val="7"/>
        </w:numPr>
        <w:autoSpaceDE/>
        <w:jc w:val="both"/>
        <w:rPr>
          <w:rFonts w:ascii="Calibri" w:hAnsi="Calibri"/>
          <w:b/>
          <w:bCs/>
          <w:lang w:val="sr-Latn-CS"/>
        </w:rPr>
      </w:pPr>
      <w:r w:rsidRPr="00B55784">
        <w:rPr>
          <w:rFonts w:ascii="Calibri" w:hAnsi="Calibri"/>
          <w:b/>
          <w:bCs/>
          <w:lang w:val="sr-Cyrl-CS"/>
        </w:rPr>
        <w:t xml:space="preserve">Табела 2. обрасца за финансијски извештај – </w:t>
      </w:r>
      <w:r w:rsidRPr="00B55784">
        <w:rPr>
          <w:rFonts w:ascii="Calibri" w:hAnsi="Calibri"/>
          <w:b/>
          <w:bCs/>
          <w:lang w:val="sr-Cyrl-RS"/>
        </w:rPr>
        <w:t xml:space="preserve">садржи  аналитику свих трошкова </w:t>
      </w:r>
      <w:r w:rsidRPr="00B55784">
        <w:rPr>
          <w:rFonts w:ascii="Calibri" w:hAnsi="Calibri"/>
          <w:b/>
          <w:bCs/>
          <w:lang w:val="sr-Cyrl-CS"/>
        </w:rPr>
        <w:t xml:space="preserve">за сваку буџетску линију (намену) посебно, и уз њу се прилаже сва припадајућа књиговодствена докуметација </w:t>
      </w:r>
    </w:p>
    <w:p w:rsidR="00B55784" w:rsidRDefault="00B55784" w:rsidP="00B55784">
      <w:pPr>
        <w:numPr>
          <w:ilvl w:val="0"/>
          <w:numId w:val="7"/>
        </w:numPr>
        <w:autoSpaceDE/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bCs/>
          <w:lang w:val="sr-Latn-CS"/>
        </w:rPr>
        <w:t>Свак</w:t>
      </w:r>
      <w:r>
        <w:rPr>
          <w:rFonts w:ascii="Calibri" w:hAnsi="Calibri"/>
          <w:b/>
          <w:bCs/>
          <w:lang w:val="sr-Cyrl-CS"/>
        </w:rPr>
        <w:t xml:space="preserve">а табела овог Извештаја </w:t>
      </w:r>
      <w:r>
        <w:rPr>
          <w:rFonts w:ascii="Calibri" w:hAnsi="Calibri"/>
          <w:b/>
          <w:bCs/>
          <w:lang w:val="sr-Latn-CS"/>
        </w:rPr>
        <w:t>мора да садржи потпис</w:t>
      </w:r>
      <w:r>
        <w:rPr>
          <w:rFonts w:ascii="Calibri" w:hAnsi="Calibri"/>
          <w:b/>
          <w:bCs/>
          <w:lang w:val="sr-Cyrl-CS"/>
        </w:rPr>
        <w:t xml:space="preserve"> одговорног</w:t>
      </w:r>
      <w:r>
        <w:rPr>
          <w:rFonts w:ascii="Calibri" w:hAnsi="Calibri"/>
          <w:b/>
          <w:bCs/>
          <w:lang w:val="sr-Latn-CS"/>
        </w:rPr>
        <w:t xml:space="preserve"> </w:t>
      </w:r>
      <w:r>
        <w:rPr>
          <w:rFonts w:ascii="Calibri" w:hAnsi="Calibri"/>
          <w:b/>
          <w:bCs/>
          <w:lang w:val="sr-Cyrl-CS"/>
        </w:rPr>
        <w:t>лица и да буде оверена  печатом</w:t>
      </w:r>
      <w:r>
        <w:rPr>
          <w:rFonts w:ascii="Calibri" w:hAnsi="Calibri"/>
          <w:b/>
          <w:bCs/>
          <w:lang w:val="sr-Latn-CS"/>
        </w:rPr>
        <w:t>.</w:t>
      </w:r>
    </w:p>
    <w:p w:rsidR="00B55784" w:rsidRDefault="00B55784" w:rsidP="00B55784">
      <w:pPr>
        <w:autoSpaceDE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9649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949"/>
      </w:tblGrid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autoSpaceDE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autoSpaceDE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ПОТРЕБНА ДОКУМЕНТАЦИЈА ЗА ДОКАЗИВАЊЕ РЕАЛИЗОВАНИХ ТРОШКОВА (за средства добијена из Буџета АПВ)</w:t>
            </w: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B55784" w:rsidRDefault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55784">
              <w:rPr>
                <w:rFonts w:ascii="Calibri" w:hAnsi="Calibri"/>
                <w:b/>
                <w:sz w:val="22"/>
                <w:szCs w:val="22"/>
                <w:lang w:val="sr-Cyrl-CS"/>
              </w:rPr>
              <w:t>Зараде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numPr>
                <w:ilvl w:val="0"/>
                <w:numId w:val="2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Рекапитулација зарада за све запослене учесника у пројекту који су зараду остварили из пренетих средстава за укупан период рада на пројекту</w:t>
            </w:r>
          </w:p>
          <w:p w:rsidR="00B55784" w:rsidRDefault="00B55784">
            <w:pPr>
              <w:numPr>
                <w:ilvl w:val="0"/>
                <w:numId w:val="2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Платни лист за сваког запосленог ангажованог на Пројекту</w:t>
            </w:r>
          </w:p>
          <w:p w:rsidR="00B55784" w:rsidRDefault="00B55784">
            <w:pPr>
              <w:numPr>
                <w:ilvl w:val="0"/>
                <w:numId w:val="2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Извод из Трезора на коме је јасно обележена исплата нето зараде, пореза и доприноса на зараде</w:t>
            </w:r>
          </w:p>
          <w:p w:rsidR="00B55784" w:rsidRDefault="00B55784">
            <w:pPr>
              <w:numPr>
                <w:ilvl w:val="0"/>
                <w:numId w:val="2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ППП-ПД образац </w:t>
            </w:r>
          </w:p>
          <w:p w:rsidR="00B55784" w:rsidRDefault="00B55784">
            <w:pPr>
              <w:numPr>
                <w:ilvl w:val="0"/>
                <w:numId w:val="2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Уговор о раду и пријава на обавезно социјално осигурање</w:t>
            </w:r>
          </w:p>
          <w:p w:rsidR="00B60171" w:rsidRDefault="00B60171" w:rsidP="00B60171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B55784" w:rsidRDefault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55784">
              <w:rPr>
                <w:rFonts w:ascii="Calibri" w:hAnsi="Calibri"/>
                <w:b/>
                <w:sz w:val="22"/>
                <w:szCs w:val="22"/>
                <w:lang w:val="sr-Cyrl-CS"/>
              </w:rPr>
              <w:t>Уговор о делу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Фотокопија Уговора о делу  (Уговор мора имати свој деловодни број и датум када је закључен) 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ППП-ПД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образац (извода из појединачне пореске пријаве) и фотокопија овереног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МУН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обрасца 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Извод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Трезора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на коме је јасно обележена исплата нето хонорара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пореза и доприноса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Табела о утрошку времена ангажовања на 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ројекту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Појединачни обрачуни за свако лице ангажовано по уговору о делу 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Извештај о извршеном послу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сачињен од стране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лица ангажованог по уговору о делу 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Потписана и оверена сагласност координатора да је извештај прихваћен односно да је посао извршен на задовољавајући начин</w:t>
            </w:r>
          </w:p>
          <w:p w:rsidR="00B55784" w:rsidRPr="008956C6" w:rsidRDefault="00B5578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*Уколико укупна вредност средстава намењених  </w:t>
            </w:r>
            <w:r w:rsidR="00FB1A73" w:rsidRPr="008956C6">
              <w:rPr>
                <w:rFonts w:ascii="Calibri" w:hAnsi="Calibri"/>
                <w:sz w:val="22"/>
                <w:szCs w:val="22"/>
                <w:lang w:val="sr-Cyrl-CS"/>
              </w:rPr>
              <w:t>уговору о делу прелази цензус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 xml:space="preserve"> одређен Законом о јавним набавкама</w:t>
            </w:r>
            <w:r w:rsidR="00FB1A73" w:rsidRPr="008956C6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спровести поступак јавне набавке за ову намену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  <w:p w:rsidR="00B55784" w:rsidRDefault="00B5578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 w:rsidP="00694FC2">
            <w:pPr>
              <w:autoSpaceDE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55784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Партнерске организације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(агенције за консалтинг, маркетинг </w:t>
            </w:r>
            <w:r w:rsidR="00694FC2">
              <w:rPr>
                <w:rFonts w:ascii="Calibri" w:hAnsi="Calibri"/>
                <w:sz w:val="22"/>
                <w:szCs w:val="22"/>
                <w:lang w:val="sr-Cyrl-CS"/>
              </w:rPr>
              <w:t>, предузетници...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)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C6" w:rsidRDefault="00B55784" w:rsidP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Уколико постоје 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>друга правна лица</w:t>
            </w:r>
            <w:r w:rsidR="00694FC2">
              <w:rPr>
                <w:rFonts w:ascii="Calibri" w:hAnsi="Calibri"/>
                <w:sz w:val="22"/>
                <w:szCs w:val="22"/>
                <w:lang w:val="sr-Cyrl-CS"/>
              </w:rPr>
              <w:t xml:space="preserve"> (агенције, предузетници...)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кој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носиоц пројекта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ангажуј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реализацију одређених пројектних активности</w:t>
            </w:r>
            <w:r w:rsidR="00816381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прилаже се: </w:t>
            </w:r>
            <w:r w:rsidRPr="00B55784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уговор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са тим правним лицем, са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детаљном структуром трошкова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816381">
              <w:rPr>
                <w:rFonts w:ascii="Calibri" w:hAnsi="Calibri"/>
                <w:b/>
                <w:sz w:val="22"/>
                <w:szCs w:val="22"/>
                <w:lang w:val="sr-Cyrl-CS"/>
              </w:rPr>
              <w:t>за уговорене послове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, извештај о извршеном послу и сагласност  овлашћеног лица</w:t>
            </w:r>
            <w:r w:rsidR="00816381">
              <w:rPr>
                <w:rFonts w:ascii="Calibri" w:hAnsi="Calibri"/>
                <w:sz w:val="22"/>
                <w:szCs w:val="22"/>
                <w:lang w:val="sr-Cyrl-CS"/>
              </w:rPr>
              <w:t xml:space="preserve"> носиоца пројекта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да је извештај прихваћен односно да је посао извршен на задовољавајући начин. </w:t>
            </w:r>
          </w:p>
          <w:p w:rsidR="00694FC2" w:rsidRDefault="00694FC2" w:rsidP="00694FC2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55784" w:rsidRDefault="00B55784" w:rsidP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Уколико се преко 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>партнерских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организација исплаћује нека врста накнада за физичка лица</w:t>
            </w:r>
            <w:r w:rsidR="00694FC2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потребно је</w:t>
            </w:r>
            <w:r w:rsidR="00FB1A73"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да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694FC2">
              <w:rPr>
                <w:rFonts w:ascii="Calibri" w:hAnsi="Calibri"/>
                <w:sz w:val="22"/>
                <w:szCs w:val="22"/>
                <w:lang w:val="sr-Cyrl-CS"/>
              </w:rPr>
              <w:t>те организације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 доставе документацију (уговор са тим лицем, извод са текућег рачуна којим доказује да је извршена исплата накнаде и да су плаћени порези и доприноси, фотокопија овереног </w:t>
            </w:r>
            <w:r w:rsidRPr="008956C6">
              <w:rPr>
                <w:rFonts w:ascii="Calibri" w:hAnsi="Calibri"/>
                <w:b/>
                <w:sz w:val="22"/>
                <w:szCs w:val="22"/>
                <w:lang w:val="sr-Cyrl-CS"/>
              </w:rPr>
              <w:t>МУН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обрасца)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>носиоцу пројекта,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>а носиоц пројекта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ову документацију доставља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8956C6">
              <w:rPr>
                <w:rFonts w:ascii="Calibri" w:hAnsi="Calibri"/>
                <w:sz w:val="22"/>
                <w:szCs w:val="22"/>
                <w:lang w:val="sr-Cyrl-CS"/>
              </w:rPr>
              <w:t>Секретаријату.</w:t>
            </w:r>
          </w:p>
          <w:p w:rsidR="00694FC2" w:rsidRDefault="00694FC2" w:rsidP="00694FC2">
            <w:pPr>
              <w:pStyle w:val="ListParagrap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16381" w:rsidRDefault="00816381" w:rsidP="00816381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>уколико партнерска организација врши набавку канцеларијског материјала за носиоца пројекта, неопходно је доставити отпремницу која садржи детаљну спецификацију набављених добара. Отпремница мора бити потписана од стране овлашћен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ог</w:t>
            </w:r>
            <w:r w:rsidRPr="008956C6">
              <w:rPr>
                <w:rFonts w:ascii="Calibri" w:hAnsi="Calibri"/>
                <w:sz w:val="22"/>
                <w:szCs w:val="22"/>
                <w:lang w:val="sr-Cyrl-CS"/>
              </w:rPr>
              <w:t xml:space="preserve"> лица партнерске организације и носиоца пројекта.</w:t>
            </w:r>
          </w:p>
          <w:p w:rsidR="00B60171" w:rsidRDefault="00B60171" w:rsidP="00B60171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B55784" w:rsidRDefault="00B55784" w:rsidP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55784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Набавка роба  и услуга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4" w:rsidRDefault="00B5578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За сваку набавку роба и услуга (опреме, канцеларијског материјала, штампања и друго) доставити</w:t>
            </w:r>
            <w:r w:rsidR="009B3904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694FC2" w:rsidRDefault="00694FC2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55784" w:rsidRPr="009B3904" w:rsidRDefault="00B55784" w:rsidP="009B3904">
            <w:pPr>
              <w:pStyle w:val="ListParagraph"/>
              <w:numPr>
                <w:ilvl w:val="0"/>
                <w:numId w:val="1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рачун/фактуру на којој се јасно види шта је набављено (</w:t>
            </w:r>
            <w:r w:rsidRPr="009B3904">
              <w:rPr>
                <w:rFonts w:ascii="Calibri" w:hAnsi="Calibri"/>
                <w:b/>
                <w:sz w:val="22"/>
                <w:szCs w:val="22"/>
                <w:lang w:val="sr-Cyrl-CS"/>
              </w:rPr>
              <w:t>врста, количина и појединачна цена</w:t>
            </w: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). Рачун мора садржати податке о лицу које је преузело робу или прихва</w:t>
            </w:r>
            <w:r w:rsidR="002158D1" w:rsidRPr="009B3904">
              <w:rPr>
                <w:rFonts w:ascii="Calibri" w:hAnsi="Calibri"/>
                <w:sz w:val="22"/>
                <w:szCs w:val="22"/>
                <w:lang w:val="sr-Cyrl-CS"/>
              </w:rPr>
              <w:t>тио извршену услугу (</w:t>
            </w: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потпис од стране 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овлашћеног</w:t>
            </w: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лица носиоца пројекта, оверен печатом) као и  фискални рачун (</w:t>
            </w:r>
            <w:r w:rsidR="002158D1" w:rsidRPr="009B3904">
              <w:rPr>
                <w:rFonts w:ascii="Calibri" w:hAnsi="Calibri"/>
                <w:sz w:val="22"/>
                <w:szCs w:val="22"/>
                <w:lang w:val="sr-Cyrl-CS"/>
              </w:rPr>
              <w:t>ф</w:t>
            </w: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искални рачун не сме да се копира преко рачуна)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Извод  на ком је јасно обележена исплата достављеног рачуна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Уколико је </w:t>
            </w:r>
            <w:r w:rsidR="00B60171">
              <w:rPr>
                <w:rFonts w:ascii="Calibri" w:hAnsi="Calibri"/>
                <w:sz w:val="22"/>
                <w:szCs w:val="22"/>
                <w:lang w:val="sr-Cyrl-CS"/>
              </w:rPr>
              <w:t>предмет набавке основно средств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 (опрема) обавезно доставити доказ да је набављена опрема прокњижена као имовина удружења</w:t>
            </w:r>
          </w:p>
          <w:p w:rsidR="00B55784" w:rsidRDefault="00B55784">
            <w:pPr>
              <w:numPr>
                <w:ilvl w:val="0"/>
                <w:numId w:val="3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Ако је у питању куповина половне опреме, потребно је доставити Уговор о купопродаји, оверен у суду, где се исплата физичком лицу врши на рачун код пословне банке. </w:t>
            </w:r>
          </w:p>
          <w:p w:rsidR="00B55784" w:rsidRDefault="00B55784">
            <w:pPr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Рачун мора да садржи назив робе, количину, јединичну и укупну цену</w:t>
            </w:r>
          </w:p>
          <w:p w:rsidR="00E8418B" w:rsidRDefault="00E8418B" w:rsidP="00B60171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C705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4" w:rsidRPr="00B55784" w:rsidRDefault="006C7054" w:rsidP="006C705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У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слуге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web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дизајна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4" w:rsidRPr="009B3904" w:rsidRDefault="00816381" w:rsidP="009B390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Доставити: </w:t>
            </w:r>
            <w:r w:rsidR="00CD35A4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   </w:t>
            </w:r>
          </w:p>
          <w:p w:rsidR="00CD35A4" w:rsidRPr="009B3904" w:rsidRDefault="00CD35A4" w:rsidP="009B3904">
            <w:pPr>
              <w:pStyle w:val="ListParagraph"/>
              <w:numPr>
                <w:ilvl w:val="0"/>
                <w:numId w:val="1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816381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идејно решење </w:t>
            </w:r>
            <w:r w:rsidR="00B70B3F" w:rsidRPr="009B3904">
              <w:rPr>
                <w:rFonts w:ascii="Calibri" w:hAnsi="Calibri"/>
                <w:sz w:val="22"/>
                <w:szCs w:val="22"/>
                <w:lang w:val="sr-Cyrl-CS"/>
              </w:rPr>
              <w:t>изгледа сајта</w:t>
            </w:r>
          </w:p>
          <w:p w:rsidR="006C7054" w:rsidRPr="00694FC2" w:rsidRDefault="00816381" w:rsidP="00694FC2">
            <w:pPr>
              <w:pStyle w:val="ListParagraph"/>
              <w:numPr>
                <w:ilvl w:val="0"/>
                <w:numId w:val="1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D35A4">
              <w:rPr>
                <w:rFonts w:ascii="Calibri" w:hAnsi="Calibri"/>
                <w:sz w:val="22"/>
                <w:szCs w:val="22"/>
                <w:lang w:val="sr-Latn-RS"/>
              </w:rPr>
              <w:t xml:space="preserve">printscreen </w:t>
            </w:r>
            <w:r w:rsidRPr="00CD35A4">
              <w:rPr>
                <w:rFonts w:ascii="Calibri" w:hAnsi="Calibri"/>
                <w:sz w:val="22"/>
                <w:szCs w:val="22"/>
                <w:lang w:val="sr-Cyrl-RS"/>
              </w:rPr>
              <w:t xml:space="preserve">сајта </w:t>
            </w:r>
          </w:p>
          <w:p w:rsidR="00694FC2" w:rsidRDefault="00694FC2" w:rsidP="00694FC2">
            <w:pPr>
              <w:pStyle w:val="ListParagraph"/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4F35D3" w:rsidRPr="006C7054" w:rsidRDefault="004F35D3" w:rsidP="00694FC2">
            <w:pPr>
              <w:pStyle w:val="ListParagraph"/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C705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4" w:rsidRDefault="006C7054" w:rsidP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Услуге израде сајта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4" w:rsidRPr="009B3904" w:rsidRDefault="00816381" w:rsidP="009B390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Доставити:</w:t>
            </w:r>
            <w:r w:rsidR="00CD35A4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CD35A4" w:rsidRPr="009B3904" w:rsidRDefault="00816381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уговор о хостингу, </w:t>
            </w:r>
          </w:p>
          <w:p w:rsidR="006C7054" w:rsidRDefault="00816381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D35A4">
              <w:rPr>
                <w:rFonts w:ascii="Calibri" w:hAnsi="Calibri"/>
                <w:sz w:val="22"/>
                <w:szCs w:val="22"/>
                <w:lang w:val="sr-Cyrl-CS"/>
              </w:rPr>
              <w:t>линк</w:t>
            </w:r>
            <w:r w:rsidR="004F473A">
              <w:rPr>
                <w:rFonts w:ascii="Calibri" w:hAnsi="Calibri"/>
                <w:sz w:val="22"/>
                <w:szCs w:val="22"/>
                <w:lang w:val="sr-Cyrl-CS"/>
              </w:rPr>
              <w:t xml:space="preserve"> сајта</w:t>
            </w:r>
          </w:p>
          <w:p w:rsidR="00B60171" w:rsidRPr="00B60171" w:rsidRDefault="00B60171" w:rsidP="009B390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0171">
              <w:rPr>
                <w:rFonts w:ascii="Calibri" w:hAnsi="Calibri"/>
                <w:sz w:val="22"/>
                <w:szCs w:val="22"/>
                <w:lang w:val="sr-Cyrl-CS"/>
              </w:rPr>
              <w:t xml:space="preserve">printscreen сајта </w:t>
            </w:r>
          </w:p>
          <w:p w:rsidR="00B60171" w:rsidRPr="00CD35A4" w:rsidRDefault="00B60171" w:rsidP="00B60171">
            <w:pPr>
              <w:pStyle w:val="ListParagraph"/>
              <w:autoSpaceDE/>
              <w:ind w:left="145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C705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54" w:rsidRDefault="00816381" w:rsidP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Кетеринг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AC" w:rsidRPr="009B3904" w:rsidRDefault="008F50AC" w:rsidP="009B390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RS"/>
              </w:rPr>
              <w:t>На рачуну мора писати да је кетеринг за потребе пројекта и назив пројекта</w:t>
            </w:r>
          </w:p>
          <w:p w:rsidR="006C7054" w:rsidRPr="00B60171" w:rsidRDefault="006C7054" w:rsidP="00B60171">
            <w:pPr>
              <w:autoSpaceDE/>
              <w:ind w:left="109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816381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Услуге дизајн</w:t>
            </w:r>
            <w:r w:rsidR="00D179C0">
              <w:rPr>
                <w:rFonts w:ascii="Calibri" w:hAnsi="Calibri"/>
                <w:b/>
                <w:sz w:val="22"/>
                <w:szCs w:val="22"/>
                <w:lang w:val="sr-Cyrl-CS"/>
              </w:rPr>
              <w:t>а, припреме за штампу и штампања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4" w:rsidRDefault="00816381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Доставити:</w:t>
            </w:r>
          </w:p>
          <w:p w:rsidR="00CD35A4" w:rsidRPr="009B3904" w:rsidRDefault="008F50AC" w:rsidP="009B3904">
            <w:pPr>
              <w:pStyle w:val="ListParagraph"/>
              <w:numPr>
                <w:ilvl w:val="0"/>
                <w:numId w:val="1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примерак идејног</w:t>
            </w:r>
            <w:r w:rsidR="00816381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решења</w:t>
            </w:r>
            <w:r w:rsidR="00CD35A4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логотипа, </w:t>
            </w:r>
          </w:p>
          <w:p w:rsidR="00816381" w:rsidRPr="009B3904" w:rsidRDefault="00CD35A4" w:rsidP="009B3904">
            <w:pPr>
              <w:pStyle w:val="ListParagraph"/>
              <w:numPr>
                <w:ilvl w:val="0"/>
                <w:numId w:val="1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D35A4">
              <w:rPr>
                <w:rFonts w:ascii="Calibri" w:hAnsi="Calibri"/>
                <w:sz w:val="22"/>
                <w:szCs w:val="22"/>
                <w:lang w:val="sr-Cyrl-CS"/>
              </w:rPr>
              <w:t>по један примерак одш</w:t>
            </w:r>
            <w:r w:rsidR="00B60171">
              <w:rPr>
                <w:rFonts w:ascii="Calibri" w:hAnsi="Calibri"/>
                <w:sz w:val="22"/>
                <w:szCs w:val="22"/>
                <w:lang w:val="sr-Cyrl-CS"/>
              </w:rPr>
              <w:t>т</w:t>
            </w:r>
            <w:r w:rsidRPr="00CD35A4">
              <w:rPr>
                <w:rFonts w:ascii="Calibri" w:hAnsi="Calibri"/>
                <w:sz w:val="22"/>
                <w:szCs w:val="22"/>
                <w:lang w:val="sr-Cyrl-CS"/>
              </w:rPr>
              <w:t xml:space="preserve">ампаног материјала: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брошура, </w:t>
            </w:r>
            <w:r w:rsidR="008F50AC">
              <w:rPr>
                <w:rFonts w:ascii="Calibri" w:hAnsi="Calibri"/>
                <w:sz w:val="22"/>
                <w:szCs w:val="22"/>
                <w:lang w:val="sr-Cyrl-CS"/>
              </w:rPr>
              <w:t xml:space="preserve">фасцикла,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флајер, плакат, мајица, качкет, беџ, фотографије промотивног пулта односно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roll up 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банера...</w:t>
            </w:r>
          </w:p>
          <w:p w:rsidR="009B3904" w:rsidRPr="00CD35A4" w:rsidRDefault="009B3904" w:rsidP="009B3904">
            <w:pPr>
              <w:pStyle w:val="ListParagraph"/>
              <w:autoSpaceDE/>
              <w:ind w:left="145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70B3F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3F" w:rsidRPr="00B70B3F" w:rsidRDefault="00595213" w:rsidP="00595213">
            <w:pPr>
              <w:autoSpaceDE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Latn-RS"/>
              </w:rPr>
              <w:t>O</w:t>
            </w:r>
            <w:r w:rsidR="00B70B3F">
              <w:rPr>
                <w:rFonts w:ascii="Calibri" w:hAnsi="Calibri"/>
                <w:b/>
                <w:sz w:val="22"/>
                <w:szCs w:val="22"/>
                <w:lang w:val="sr-Cyrl-RS"/>
              </w:rPr>
              <w:t>рганизациј</w:t>
            </w:r>
            <w:r>
              <w:rPr>
                <w:rFonts w:ascii="Calibri" w:hAnsi="Calibri"/>
                <w:b/>
                <w:sz w:val="22"/>
                <w:szCs w:val="22"/>
                <w:lang w:val="sr-Latn-RS"/>
              </w:rPr>
              <w:t>a</w:t>
            </w:r>
            <w:r w:rsidR="00B70B3F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 семинара, едукација, радионица, округлих столова, дебата, панел дискусија...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4" w:rsidRPr="009B3904" w:rsidRDefault="009B3904" w:rsidP="009B3904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Доставити: </w:t>
            </w:r>
            <w:r w:rsidR="008D7F22" w:rsidRPr="009B390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  <w:p w:rsidR="00B70B3F" w:rsidRPr="009B3904" w:rsidRDefault="00705BC7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агенду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з</w:t>
            </w:r>
            <w:r w:rsidR="00B70B3F" w:rsidRPr="009B3904">
              <w:rPr>
                <w:rFonts w:ascii="Calibri" w:hAnsi="Calibri"/>
                <w:sz w:val="22"/>
                <w:szCs w:val="22"/>
                <w:lang w:val="sr-Cyrl-CS"/>
              </w:rPr>
              <w:t>а све дане семинара (радионица, едукација, округлих столова, дебата, панел дискусија...) која садржи назив теме, сатницу и место одржавања</w:t>
            </w:r>
          </w:p>
          <w:p w:rsidR="00B70B3F" w:rsidRPr="009B3904" w:rsidRDefault="00B70B3F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B3904">
              <w:rPr>
                <w:rFonts w:ascii="Calibri" w:hAnsi="Calibri"/>
                <w:sz w:val="22"/>
                <w:szCs w:val="22"/>
                <w:lang w:val="sr-Cyrl-CS"/>
              </w:rPr>
              <w:t>листу присутности учесника са њиховим потписима, контакт телефонима и имејл адресама</w:t>
            </w:r>
          </w:p>
          <w:p w:rsidR="008D7F22" w:rsidRDefault="008D7F22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списак предавача са њиховим потписима</w:t>
            </w:r>
          </w:p>
          <w:p w:rsidR="007F13B1" w:rsidRDefault="007F13B1" w:rsidP="009B3904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ЦД са фотографијама одржаних семинара (радионица, едукација, округлих столова, панел дискусија, дебата...) </w:t>
            </w:r>
          </w:p>
          <w:p w:rsidR="004F35D3" w:rsidRPr="00B70B3F" w:rsidRDefault="004F35D3" w:rsidP="004F35D3">
            <w:pPr>
              <w:pStyle w:val="ListParagraph"/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2158D1" w:rsidRDefault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158D1">
              <w:rPr>
                <w:rFonts w:ascii="Calibri" w:hAnsi="Calibri"/>
                <w:b/>
                <w:sz w:val="22"/>
                <w:szCs w:val="22"/>
                <w:lang w:val="sr-Cyrl-CS"/>
              </w:rPr>
              <w:t>Дневнице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C0" w:rsidRDefault="00D179C0" w:rsidP="00D179C0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Доставити: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Акт носиоца пројекта на основу којег се може утврдити под којим условима се исплаћује дневница и висина дневнице, односно остали трошкови везани за службено путовање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  <w:p w:rsidR="00B55784" w:rsidRDefault="00B55784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2158D1" w:rsidRDefault="00B55784">
            <w:pPr>
              <w:autoSpaceDE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158D1">
              <w:rPr>
                <w:rFonts w:ascii="Calibri" w:hAnsi="Calibri"/>
                <w:b/>
                <w:sz w:val="22"/>
                <w:szCs w:val="22"/>
                <w:lang w:val="sr-Cyrl-CS"/>
              </w:rPr>
              <w:t>Путни налог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Default="00B55784">
            <w:pPr>
              <w:numPr>
                <w:ilvl w:val="0"/>
                <w:numId w:val="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путни налог може се признати само уколико је попуњен у складу са актом који дефинише накнаде трошкова на службеном путу у земљи (висина дневница, потрошња горива и др.), </w:t>
            </w:r>
          </w:p>
          <w:p w:rsidR="00B55784" w:rsidRDefault="00B55784">
            <w:pPr>
              <w:numPr>
                <w:ilvl w:val="0"/>
                <w:numId w:val="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мора да  садржи  деловодни број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мора бити оверен од овлашћеног лица и лица који реализује службени пут 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мора да садржи </w:t>
            </w:r>
            <w:r w:rsidR="002158D1">
              <w:rPr>
                <w:rFonts w:ascii="Calibri" w:hAnsi="Calibri"/>
                <w:sz w:val="22"/>
                <w:szCs w:val="22"/>
                <w:lang w:val="sr-Cyrl-CS"/>
              </w:rPr>
              <w:t>извештај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са службеног пута</w:t>
            </w:r>
            <w:r w:rsidR="002158D1">
              <w:rPr>
                <w:rFonts w:ascii="Calibri" w:hAnsi="Calibri"/>
                <w:sz w:val="22"/>
                <w:szCs w:val="22"/>
                <w:lang w:val="sr-Cyrl-CS"/>
              </w:rPr>
              <w:t xml:space="preserve"> и потписану сагласност овлашћеног лица на извештај</w:t>
            </w:r>
          </w:p>
          <w:p w:rsidR="00B55784" w:rsidRDefault="00B55784">
            <w:pPr>
              <w:numPr>
                <w:ilvl w:val="0"/>
                <w:numId w:val="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мора бити приложен заједно са изводом са трезорског рачуна на ком је јасно обележена исплата дневница и других трошкова исказаних на путном налогу </w:t>
            </w:r>
          </w:p>
          <w:p w:rsidR="00000121" w:rsidRDefault="00B55784" w:rsidP="00B60171">
            <w:pPr>
              <w:numPr>
                <w:ilvl w:val="0"/>
                <w:numId w:val="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копије рачуна за трошкове исказане у путном налогу </w:t>
            </w:r>
          </w:p>
          <w:p w:rsidR="00000121" w:rsidRDefault="00000121" w:rsidP="00000121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60171" w:rsidRDefault="00B55784" w:rsidP="009B3904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Напомена:</w:t>
            </w:r>
            <w:r>
              <w:rPr>
                <w:rFonts w:ascii="Calibri" w:hAnsi="Calibri"/>
                <w:sz w:val="20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Ако се ради о упућивању лица на семинар или слично или ако носиоц пројекта организује неки догађај на основу чега се исплаћују путни трошкови учесницима неопходно је доставити: позивно писмо и агенде за догађај односно листе учесника (име презиме, адреса,  телефон и потпис учесника) за догађаје који носиоц пројекта организује (семинар,</w:t>
            </w:r>
            <w:r w:rsidR="00000121">
              <w:rPr>
                <w:rFonts w:ascii="Calibri" w:hAnsi="Calibri"/>
                <w:sz w:val="22"/>
                <w:szCs w:val="22"/>
                <w:lang w:val="sr-Cyrl-CS"/>
              </w:rPr>
              <w:t xml:space="preserve"> едукацију, радионицу и слично).</w:t>
            </w:r>
          </w:p>
          <w:p w:rsidR="004F35D3" w:rsidRDefault="004F35D3" w:rsidP="009B3904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4F35D3" w:rsidRDefault="004F35D3" w:rsidP="009B3904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9B3904" w:rsidRDefault="009B3904" w:rsidP="009B3904">
            <w:pPr>
              <w:autoSpaceDE/>
              <w:ind w:left="72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84" w:rsidRPr="00F07C9C" w:rsidRDefault="00B55784">
            <w:pPr>
              <w:autoSpaceDE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Гориво</w:t>
            </w: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tab/>
            </w:r>
          </w:p>
          <w:p w:rsidR="00B55784" w:rsidRDefault="00B55784">
            <w:pPr>
              <w:autoSpaceDE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Путни налог 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 xml:space="preserve">потписан и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овере</w:t>
            </w:r>
            <w:r w:rsidR="00D179C0">
              <w:rPr>
                <w:rFonts w:ascii="Calibri" w:hAnsi="Calibri"/>
                <w:sz w:val="22"/>
                <w:szCs w:val="22"/>
                <w:lang w:val="sr-Cyrl-CS"/>
              </w:rPr>
              <w:t>н од стране руководиоца пројекта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Акт на основу којег се може неспорно утврдити ко има право да купује гориво, регистарске таблице аутомобила у који се сипа гориво, колики је месечни износ горива кој</w:t>
            </w:r>
            <w:r w:rsidR="00000121">
              <w:rPr>
                <w:rFonts w:ascii="Calibri" w:hAnsi="Calibri"/>
                <w:sz w:val="22"/>
                <w:szCs w:val="22"/>
                <w:lang w:val="sr-Cyrl-CS"/>
              </w:rPr>
              <w:t>и се може признати и за коју ре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л</w:t>
            </w:r>
            <w:r w:rsidR="00A302F3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цију 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Налог за коришћење аутомобила који садржи датум путовања, ре</w:t>
            </w:r>
            <w:r w:rsidR="00B60171">
              <w:rPr>
                <w:rFonts w:ascii="Calibri" w:hAnsi="Calibri"/>
                <w:sz w:val="22"/>
                <w:szCs w:val="22"/>
                <w:lang w:val="sr-Cyrl-CS"/>
              </w:rPr>
              <w:t>лац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ију  пута, пређену километражу и који је   оверен од стране руководиоца пројекта 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Рачун/фактура о куповини горива 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Извод на ком је јасно обележена исплата трошкова за набавку горива</w:t>
            </w: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F07C9C" w:rsidRDefault="00B55784">
            <w:pPr>
              <w:autoSpaceDE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смештаја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904" w:rsidRDefault="00B55784" w:rsidP="004F35D3">
            <w:pPr>
              <w:numPr>
                <w:ilvl w:val="0"/>
                <w:numId w:val="6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За плаћање трошкова смештаја за чланове удружења (рехабилитација и опоравак чланова) доставити Одлуку надлежног органа о избору чланова удружења који се упућују на пут, правилник о критеријумима на основу којих је извршен избор чланова и документацију за конкурс расписан за чланове удружења  </w:t>
            </w: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F07C9C" w:rsidRDefault="00B55784">
            <w:pPr>
              <w:autoSpaceDE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закупа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Уговор о закупу оверен у суду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Обрачунат и плаћен порез </w:t>
            </w:r>
          </w:p>
          <w:p w:rsidR="009B3904" w:rsidRDefault="00B55784" w:rsidP="004F35D3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Извод трезорског ра</w:t>
            </w:r>
            <w:r w:rsidR="00A302F3">
              <w:rPr>
                <w:rFonts w:ascii="Calibri" w:hAnsi="Calibri"/>
                <w:sz w:val="22"/>
                <w:szCs w:val="22"/>
                <w:lang w:val="sr-Cyrl-CS"/>
              </w:rPr>
              <w:t>ч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уна  на ком</w:t>
            </w:r>
            <w:r w:rsidR="00A302F3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је јасно обележена исплата</w:t>
            </w: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F07C9C" w:rsidRDefault="00B55784">
            <w:pPr>
              <w:autoSpaceDE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телефона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Default="00A302F3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Т</w:t>
            </w:r>
            <w:r w:rsidR="00B55784">
              <w:rPr>
                <w:rFonts w:ascii="Calibri" w:hAnsi="Calibri"/>
                <w:sz w:val="22"/>
                <w:szCs w:val="22"/>
                <w:lang w:val="sr-Cyrl-CS"/>
              </w:rPr>
              <w:t>елефонски рачуни који гласе на правно лице коме су одобрена средства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Извод Трезора на ком је јасно обележена исплата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Уколико су рачуни за мобилни телефон приказани као трошкови комуникације доставити </w:t>
            </w:r>
            <w:r>
              <w:rPr>
                <w:rFonts w:ascii="Calibri" w:hAnsi="Calibri"/>
                <w:i/>
                <w:sz w:val="22"/>
                <w:szCs w:val="22"/>
                <w:lang w:val="sr-Cyrl-CS"/>
              </w:rPr>
              <w:t>Акт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на основу кога се види ко има право на ове трошкове, у ком износу и на који период</w:t>
            </w:r>
          </w:p>
          <w:p w:rsidR="009B3904" w:rsidRDefault="00B55784" w:rsidP="004F35D3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Уколико се ради о телефонском рачуну физичког лица потребно је,  поред рачуна, доставити и Акт којим се утврђује право на плаћање рачуна односно акт којим се утврђује % од износа телефонског рачуна који ће се признавати  за потребе </w:t>
            </w:r>
            <w:r w:rsidR="00A302F3"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ројекта </w:t>
            </w:r>
          </w:p>
        </w:tc>
      </w:tr>
      <w:tr w:rsidR="00B55784" w:rsidTr="00E8418B">
        <w:trPr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84" w:rsidRPr="00F07C9C" w:rsidRDefault="00B55784">
            <w:pPr>
              <w:autoSpaceDE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F07C9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Јавне набавке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8D" w:rsidRDefault="00FB1A73" w:rsidP="00BA378D">
            <w:p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Уколико средства планирана за набавку добара односно услуга</w:t>
            </w:r>
            <w:r w:rsidR="00BA378D">
              <w:rPr>
                <w:rFonts w:ascii="Calibri" w:hAnsi="Calibri"/>
                <w:sz w:val="22"/>
                <w:szCs w:val="22"/>
                <w:lang w:val="sr-Cyrl-CS"/>
              </w:rPr>
              <w:t xml:space="preserve"> у оквиру реализације пројекта прелазе лимит одређен З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аконом о јавним набавкама,</w:t>
            </w:r>
            <w:r w:rsidR="00BA378D">
              <w:rPr>
                <w:rFonts w:ascii="Calibri" w:hAnsi="Calibri"/>
                <w:sz w:val="22"/>
                <w:szCs w:val="22"/>
                <w:lang w:val="sr-Cyrl-CS"/>
              </w:rPr>
              <w:t xml:space="preserve"> носиоц пројекат је у обавези да спроведе поступак јавне набавке, у складу са Законом.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BA378D">
              <w:rPr>
                <w:rFonts w:ascii="Calibri" w:hAnsi="Calibri"/>
                <w:sz w:val="22"/>
                <w:szCs w:val="22"/>
                <w:lang w:val="sr-Cyrl-CS"/>
              </w:rPr>
              <w:t>Потребно је доставити следећу документацију:</w:t>
            </w:r>
          </w:p>
          <w:p w:rsidR="00B55784" w:rsidRPr="00BA378D" w:rsidRDefault="00B55784" w:rsidP="00BA378D">
            <w:pPr>
              <w:pStyle w:val="ListParagraph"/>
              <w:numPr>
                <w:ilvl w:val="0"/>
                <w:numId w:val="4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A378D">
              <w:rPr>
                <w:rFonts w:ascii="Calibri" w:hAnsi="Calibri"/>
                <w:sz w:val="22"/>
                <w:szCs w:val="22"/>
                <w:lang w:val="sr-Cyrl-CS"/>
              </w:rPr>
              <w:t xml:space="preserve">одлука о покретању поступка, </w:t>
            </w:r>
          </w:p>
          <w:p w:rsidR="00B55784" w:rsidRDefault="00B55784">
            <w:pPr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одлука о избору најповољнијег </w:t>
            </w:r>
            <w:r w:rsidR="00E0767D">
              <w:rPr>
                <w:rFonts w:ascii="Calibri" w:hAnsi="Calibri"/>
                <w:sz w:val="22"/>
                <w:szCs w:val="22"/>
                <w:lang w:val="sr-Cyrl-CS"/>
              </w:rPr>
              <w:t>понуђача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</w:p>
          <w:p w:rsidR="009B3904" w:rsidRDefault="00B55784" w:rsidP="00D179C0">
            <w:pPr>
              <w:pStyle w:val="ListParagraph"/>
              <w:numPr>
                <w:ilvl w:val="0"/>
                <w:numId w:val="5"/>
              </w:numPr>
              <w:autoSpaceDE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94FC2">
              <w:rPr>
                <w:rFonts w:ascii="Calibri" w:hAnsi="Calibri"/>
                <w:sz w:val="22"/>
                <w:szCs w:val="22"/>
                <w:lang w:val="sr-Cyrl-CS"/>
              </w:rPr>
              <w:t>уговор</w:t>
            </w:r>
          </w:p>
        </w:tc>
      </w:tr>
    </w:tbl>
    <w:p w:rsidR="00B55784" w:rsidRDefault="00B55784" w:rsidP="00B55784">
      <w:pPr>
        <w:autoSpaceDE/>
        <w:jc w:val="both"/>
        <w:rPr>
          <w:rFonts w:ascii="Calibri" w:hAnsi="Calibri"/>
          <w:sz w:val="22"/>
          <w:szCs w:val="22"/>
          <w:lang w:val="sr-Cyrl-CS"/>
        </w:rPr>
      </w:pPr>
    </w:p>
    <w:p w:rsidR="00B55784" w:rsidRDefault="00B55784" w:rsidP="00B55784">
      <w:pPr>
        <w:numPr>
          <w:ilvl w:val="0"/>
          <w:numId w:val="7"/>
        </w:numPr>
        <w:autoSpaceDE/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Секретаријату се достављају копије поменуте документације, док се оригинали чувају у складу са прописима.</w:t>
      </w:r>
    </w:p>
    <w:p w:rsidR="00BA378D" w:rsidRDefault="00BA378D" w:rsidP="00BA378D">
      <w:pPr>
        <w:autoSpaceDE/>
        <w:ind w:left="1004"/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B55784" w:rsidRPr="00BA378D" w:rsidRDefault="00B55784" w:rsidP="00B55784">
      <w:pPr>
        <w:numPr>
          <w:ilvl w:val="0"/>
          <w:numId w:val="7"/>
        </w:numPr>
        <w:autoSpaceDE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BA378D">
        <w:rPr>
          <w:rFonts w:asciiTheme="minorHAnsi" w:hAnsiTheme="minorHAnsi"/>
          <w:b/>
          <w:sz w:val="22"/>
          <w:szCs w:val="22"/>
          <w:lang w:val="sr-Cyrl-CS"/>
        </w:rPr>
        <w:t>Достављена  документација  слаже се по редоследу како је наведено у Буџету Пројекта и на начин који је дефинисан овим Упутством.</w:t>
      </w:r>
    </w:p>
    <w:p w:rsidR="00BA378D" w:rsidRPr="00BA378D" w:rsidRDefault="00BA378D" w:rsidP="00BA378D">
      <w:pPr>
        <w:pStyle w:val="ListParagraph"/>
        <w:rPr>
          <w:rFonts w:asciiTheme="minorHAnsi" w:hAnsiTheme="minorHAnsi"/>
          <w:b/>
          <w:sz w:val="22"/>
          <w:szCs w:val="22"/>
          <w:lang w:val="sr-Cyrl-CS"/>
        </w:rPr>
      </w:pPr>
    </w:p>
    <w:p w:rsidR="00BA378D" w:rsidRPr="004F35D3" w:rsidRDefault="00BA378D" w:rsidP="00BA378D">
      <w:pPr>
        <w:numPr>
          <w:ilvl w:val="0"/>
          <w:numId w:val="7"/>
        </w:numPr>
        <w:jc w:val="both"/>
        <w:outlineLvl w:val="0"/>
        <w:rPr>
          <w:rFonts w:asciiTheme="minorHAnsi" w:hAnsiTheme="minorHAnsi"/>
          <w:b/>
          <w:iCs/>
          <w:sz w:val="22"/>
          <w:szCs w:val="22"/>
          <w:lang w:val="sr-Cyrl-RS"/>
        </w:rPr>
      </w:pPr>
      <w:r w:rsidRPr="00BA378D">
        <w:rPr>
          <w:rFonts w:asciiTheme="minorHAnsi" w:hAnsiTheme="minorHAnsi"/>
          <w:b/>
          <w:sz w:val="22"/>
          <w:szCs w:val="22"/>
          <w:lang w:val="sr-Cyrl-CS"/>
        </w:rPr>
        <w:t>За сваку промену планираних ставки већ</w:t>
      </w:r>
      <w:r w:rsidRPr="00BA378D">
        <w:rPr>
          <w:rFonts w:asciiTheme="minorHAnsi" w:hAnsiTheme="minorHAnsi"/>
          <w:b/>
          <w:sz w:val="22"/>
          <w:szCs w:val="22"/>
          <w:lang w:val="sr-Cyrl-RS"/>
        </w:rPr>
        <w:t>у</w:t>
      </w:r>
      <w:r w:rsidRPr="00BA378D">
        <w:rPr>
          <w:rFonts w:asciiTheme="minorHAnsi" w:hAnsiTheme="minorHAnsi"/>
          <w:b/>
          <w:sz w:val="22"/>
          <w:szCs w:val="22"/>
          <w:lang w:val="sr-Cyrl-CS"/>
        </w:rPr>
        <w:t xml:space="preserve"> од 5%  (ставке која се смањује) обавезни сте да тражите сагласност Секретаријата</w:t>
      </w:r>
    </w:p>
    <w:p w:rsidR="004F35D3" w:rsidRDefault="004F35D3" w:rsidP="004F35D3">
      <w:pPr>
        <w:pStyle w:val="ListParagraph"/>
        <w:rPr>
          <w:rFonts w:asciiTheme="minorHAnsi" w:hAnsiTheme="minorHAnsi"/>
          <w:b/>
          <w:iCs/>
          <w:sz w:val="22"/>
          <w:szCs w:val="22"/>
          <w:lang w:val="sr-Cyrl-RS"/>
        </w:rPr>
      </w:pPr>
    </w:p>
    <w:p w:rsidR="006B7789" w:rsidRDefault="00B55784" w:rsidP="00D179C0">
      <w:pPr>
        <w:numPr>
          <w:ilvl w:val="0"/>
          <w:numId w:val="7"/>
        </w:numPr>
        <w:autoSpaceDE/>
        <w:jc w:val="both"/>
      </w:pPr>
      <w:r w:rsidRPr="00D179C0">
        <w:rPr>
          <w:rFonts w:asciiTheme="minorHAnsi" w:hAnsiTheme="minorHAnsi"/>
          <w:b/>
          <w:sz w:val="22"/>
          <w:szCs w:val="22"/>
          <w:lang w:val="sr-Cyrl-CS"/>
        </w:rPr>
        <w:t>Уколико је исказан тр</w:t>
      </w:r>
      <w:r w:rsidR="00F07C9C" w:rsidRPr="00D179C0">
        <w:rPr>
          <w:rFonts w:asciiTheme="minorHAnsi" w:hAnsiTheme="minorHAnsi"/>
          <w:b/>
          <w:sz w:val="22"/>
          <w:szCs w:val="22"/>
          <w:lang w:val="sr-Cyrl-CS"/>
        </w:rPr>
        <w:t>ошак већи од плани</w:t>
      </w:r>
      <w:r w:rsidRPr="00D179C0">
        <w:rPr>
          <w:rFonts w:asciiTheme="minorHAnsi" w:hAnsiTheme="minorHAnsi"/>
          <w:b/>
          <w:sz w:val="22"/>
          <w:szCs w:val="22"/>
          <w:lang w:val="sr-Cyrl-CS"/>
        </w:rPr>
        <w:t>раног доставити Изјаву из којих средстава је плаћена ралика реализованих трошкова.</w:t>
      </w:r>
    </w:p>
    <w:sectPr w:rsidR="006B7789" w:rsidSect="004F35D3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6C" w:rsidRDefault="00383D6C" w:rsidP="004F35D3">
      <w:r>
        <w:separator/>
      </w:r>
    </w:p>
  </w:endnote>
  <w:endnote w:type="continuationSeparator" w:id="0">
    <w:p w:rsidR="00383D6C" w:rsidRDefault="00383D6C" w:rsidP="004F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159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5D3" w:rsidRDefault="004F3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35D3" w:rsidRDefault="004F3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6C" w:rsidRDefault="00383D6C" w:rsidP="004F35D3">
      <w:r>
        <w:separator/>
      </w:r>
    </w:p>
  </w:footnote>
  <w:footnote w:type="continuationSeparator" w:id="0">
    <w:p w:rsidR="00383D6C" w:rsidRDefault="00383D6C" w:rsidP="004F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716"/>
    <w:multiLevelType w:val="hybridMultilevel"/>
    <w:tmpl w:val="0BD42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47D4E"/>
    <w:multiLevelType w:val="hybridMultilevel"/>
    <w:tmpl w:val="C95423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6BFB"/>
    <w:multiLevelType w:val="hybridMultilevel"/>
    <w:tmpl w:val="BA6E91CE"/>
    <w:lvl w:ilvl="0" w:tplc="9FD667C6">
      <w:start w:val="4"/>
      <w:numFmt w:val="bullet"/>
      <w:lvlText w:val="-"/>
      <w:lvlJc w:val="left"/>
      <w:pPr>
        <w:ind w:left="1455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21004512"/>
    <w:multiLevelType w:val="hybridMultilevel"/>
    <w:tmpl w:val="776E2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A3827"/>
    <w:multiLevelType w:val="multilevel"/>
    <w:tmpl w:val="FEE429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>
    <w:nsid w:val="344456E7"/>
    <w:multiLevelType w:val="hybridMultilevel"/>
    <w:tmpl w:val="31644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44FF5"/>
    <w:multiLevelType w:val="hybridMultilevel"/>
    <w:tmpl w:val="1AB26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1746F"/>
    <w:multiLevelType w:val="hybridMultilevel"/>
    <w:tmpl w:val="53D68982"/>
    <w:lvl w:ilvl="0" w:tplc="2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3CD59BD"/>
    <w:multiLevelType w:val="hybridMultilevel"/>
    <w:tmpl w:val="D304CB2A"/>
    <w:lvl w:ilvl="0" w:tplc="4D8C43BC">
      <w:start w:val="4"/>
      <w:numFmt w:val="bullet"/>
      <w:lvlText w:val="-"/>
      <w:lvlJc w:val="left"/>
      <w:pPr>
        <w:ind w:left="141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2A96EC6"/>
    <w:multiLevelType w:val="hybridMultilevel"/>
    <w:tmpl w:val="D9FAF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B2148"/>
    <w:multiLevelType w:val="hybridMultilevel"/>
    <w:tmpl w:val="21645D48"/>
    <w:lvl w:ilvl="0" w:tplc="9FD667C6">
      <w:start w:val="4"/>
      <w:numFmt w:val="bullet"/>
      <w:lvlText w:val="-"/>
      <w:lvlJc w:val="left"/>
      <w:pPr>
        <w:ind w:left="1455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E2EC4"/>
    <w:multiLevelType w:val="hybridMultilevel"/>
    <w:tmpl w:val="68E22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144685"/>
    <w:multiLevelType w:val="hybridMultilevel"/>
    <w:tmpl w:val="68F8526A"/>
    <w:lvl w:ilvl="0" w:tplc="02108EB6">
      <w:start w:val="4"/>
      <w:numFmt w:val="bullet"/>
      <w:lvlText w:val="-"/>
      <w:lvlJc w:val="left"/>
      <w:pPr>
        <w:ind w:left="2595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6F8930FA"/>
    <w:multiLevelType w:val="hybridMultilevel"/>
    <w:tmpl w:val="3764488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863D4"/>
    <w:multiLevelType w:val="hybridMultilevel"/>
    <w:tmpl w:val="74E4E0D4"/>
    <w:lvl w:ilvl="0" w:tplc="C8B2CF0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</w:rPr>
    </w:lvl>
    <w:lvl w:ilvl="1" w:tplc="241A0019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1C"/>
    <w:rsid w:val="00000121"/>
    <w:rsid w:val="002158D1"/>
    <w:rsid w:val="00383D6C"/>
    <w:rsid w:val="00414E3E"/>
    <w:rsid w:val="004F35D3"/>
    <w:rsid w:val="004F473A"/>
    <w:rsid w:val="00595213"/>
    <w:rsid w:val="00694FC2"/>
    <w:rsid w:val="006B7789"/>
    <w:rsid w:val="006C7054"/>
    <w:rsid w:val="00705BC7"/>
    <w:rsid w:val="007816E6"/>
    <w:rsid w:val="007F13B1"/>
    <w:rsid w:val="00816381"/>
    <w:rsid w:val="008956C6"/>
    <w:rsid w:val="008D7F22"/>
    <w:rsid w:val="008F50AC"/>
    <w:rsid w:val="009B3904"/>
    <w:rsid w:val="009C0F5B"/>
    <w:rsid w:val="00A302F3"/>
    <w:rsid w:val="00B55784"/>
    <w:rsid w:val="00B60171"/>
    <w:rsid w:val="00B70B3F"/>
    <w:rsid w:val="00BA378D"/>
    <w:rsid w:val="00BF2FE4"/>
    <w:rsid w:val="00C85CBA"/>
    <w:rsid w:val="00CD35A4"/>
    <w:rsid w:val="00D179C0"/>
    <w:rsid w:val="00D529F0"/>
    <w:rsid w:val="00DA1E1C"/>
    <w:rsid w:val="00E0767D"/>
    <w:rsid w:val="00E506A2"/>
    <w:rsid w:val="00E8418B"/>
    <w:rsid w:val="00ED7CCD"/>
    <w:rsid w:val="00F07C9C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8D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D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529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3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D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8D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D1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529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3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F3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D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Vladuša</dc:creator>
  <cp:keywords/>
  <dc:description/>
  <cp:lastModifiedBy>Daniel Dimitrov</cp:lastModifiedBy>
  <cp:revision>20</cp:revision>
  <dcterms:created xsi:type="dcterms:W3CDTF">2018-05-24T12:47:00Z</dcterms:created>
  <dcterms:modified xsi:type="dcterms:W3CDTF">2019-02-05T09:24:00Z</dcterms:modified>
</cp:coreProperties>
</file>