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6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На основу чл.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16, 24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и 3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5а.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Покрајинске скупшти</w:t>
      </w:r>
      <w:r w:rsidR="001C0456" w:rsidRPr="00CB2D60">
        <w:rPr>
          <w:rFonts w:asciiTheme="minorHAnsi" w:eastAsia="Times New Roman" w:hAnsiTheme="minorHAnsi"/>
          <w:noProof/>
          <w:lang w:val="sr-Cyrl-RS"/>
        </w:rPr>
        <w:t>н</w:t>
      </w:r>
      <w:r w:rsidR="007900B0" w:rsidRPr="00CB2D60">
        <w:rPr>
          <w:rFonts w:asciiTheme="minorHAnsi" w:eastAsia="Times New Roman" w:hAnsiTheme="minorHAnsi"/>
          <w:noProof/>
          <w:lang w:val="sr-Cyrl-RS"/>
        </w:rPr>
        <w:t xml:space="preserve">ске одлуке о Покрајинској управи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(„Службени лист АПВ”, бр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.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37/14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, 54/14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-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др.</w:t>
      </w:r>
      <w:r w:rsidR="000569CD" w:rsidRPr="00CB2D60">
        <w:rPr>
          <w:rFonts w:asciiTheme="minorHAnsi" w:eastAsia="Times New Roman" w:hAnsiTheme="minorHAnsi"/>
          <w:noProof/>
          <w:lang w:val="sr-Latn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одлука и 37/16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) и чланa 1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1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. Покрајинске скупштинске одлуке о буџету Аутон</w:t>
      </w:r>
      <w:r w:rsidR="00C10B59">
        <w:rPr>
          <w:rFonts w:asciiTheme="minorHAnsi" w:eastAsia="Times New Roman" w:hAnsiTheme="minorHAnsi"/>
          <w:noProof/>
          <w:lang w:val="sr-Cyrl-RS"/>
        </w:rPr>
        <w:t>омне покрајине Војводине за 201</w:t>
      </w:r>
      <w:r w:rsidR="00C10B59">
        <w:rPr>
          <w:rFonts w:asciiTheme="minorHAnsi" w:eastAsia="Times New Roman" w:hAnsiTheme="minorHAnsi"/>
          <w:noProof/>
        </w:rPr>
        <w:t>8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. годину </w:t>
      </w:r>
      <w:r w:rsidR="00C10B59">
        <w:rPr>
          <w:rFonts w:asciiTheme="minorHAnsi" w:eastAsia="Times New Roman" w:hAnsiTheme="minorHAnsi"/>
          <w:noProof/>
          <w:lang w:val="sr-Cyrl-RS"/>
        </w:rPr>
        <w:t xml:space="preserve">(„Службени лист АПВ”, број </w:t>
      </w:r>
      <w:r w:rsidR="00C10B59">
        <w:rPr>
          <w:rFonts w:asciiTheme="minorHAnsi" w:eastAsia="Times New Roman" w:hAnsiTheme="minorHAnsi"/>
          <w:noProof/>
        </w:rPr>
        <w:t>57/17</w:t>
      </w:r>
      <w:r w:rsidR="000C45DF">
        <w:rPr>
          <w:rFonts w:asciiTheme="minorHAnsi" w:eastAsia="Times New Roman" w:hAnsiTheme="minorHAnsi"/>
          <w:noProof/>
          <w:lang w:val="sr-Cyrl-RS"/>
        </w:rPr>
        <w:t xml:space="preserve"> и  број 17/18 - ребаланс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), у вези с чланом 38. Закона о удружењима („Службени гласник РС”, бр. 51/09 и 99/11 – други закон), покрајински секретар за социјалну политику, демографију и равноправност полова донео је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7900B0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ПРАВИЛНИК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О ПОСТУПКУ И КРИТЕРИЈУМИМА ЗА ДОДЕЛУ СРЕДСТАВА </w:t>
      </w:r>
      <w:r w:rsidR="007900B0" w:rsidRPr="00CB2D60">
        <w:rPr>
          <w:rFonts w:asciiTheme="minorHAnsi" w:eastAsia="Times New Roman" w:hAnsiTheme="minorHAnsi"/>
          <w:noProof/>
          <w:lang w:val="sr-Cyrl-RS"/>
        </w:rPr>
        <w:t xml:space="preserve">ПОКРАЈИНСКОГ СЕКРЕТАРИЈАТА ЗА СОЦИЈАЛНУ ПОЛИТИКУ, ДЕМОГРАФИЈУ И РАВНОПРАВНОСТ ПОЛОВА </w:t>
      </w:r>
      <w:r w:rsidRPr="00CB2D60">
        <w:rPr>
          <w:rFonts w:asciiTheme="minorHAnsi" w:eastAsia="Times New Roman" w:hAnsiTheme="minorHAnsi"/>
          <w:noProof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</w:t>
      </w:r>
      <w:r w:rsidR="00C10B59">
        <w:rPr>
          <w:rFonts w:asciiTheme="minorHAnsi" w:eastAsia="Times New Roman" w:hAnsiTheme="minorHAnsi"/>
          <w:noProof/>
          <w:lang w:val="sr-Cyrl-RS"/>
        </w:rPr>
        <w:t>ЈЕ ПРОНАТАЛИТЕТНЕ ПОЛИТИКЕ У 2018</w:t>
      </w:r>
      <w:r w:rsidRPr="00CB2D60">
        <w:rPr>
          <w:rFonts w:asciiTheme="minorHAnsi" w:eastAsia="Times New Roman" w:hAnsiTheme="minorHAnsi"/>
          <w:noProof/>
          <w:lang w:val="sr-Cyrl-RS"/>
        </w:rPr>
        <w:t>. ГОДИНИ</w:t>
      </w: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="00B45EA6" w:rsidRPr="00CB2D60">
        <w:rPr>
          <w:rFonts w:asciiTheme="minorHAnsi" w:eastAsia="Times New Roman" w:hAnsiTheme="minorHAnsi"/>
          <w:noProof/>
          <w:lang w:val="sr-Cyrl-RS"/>
        </w:rPr>
        <w:t xml:space="preserve">Овим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981949" w:rsidRPr="00CB2D60">
        <w:rPr>
          <w:rFonts w:asciiTheme="minorHAnsi" w:eastAsia="Times New Roman" w:hAnsiTheme="minorHAnsi"/>
          <w:noProof/>
          <w:lang w:val="sr-Cyrl-RS"/>
        </w:rPr>
        <w:t>равилником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уређују се поступак и критеријуми за доделу средстава </w:t>
      </w:r>
      <w:r w:rsidR="006831FB" w:rsidRPr="00CB2D60">
        <w:rPr>
          <w:rFonts w:asciiTheme="minorHAnsi" w:eastAsia="Times New Roman" w:hAnsiTheme="minorHAnsi"/>
          <w:noProof/>
          <w:lang w:val="sr-Cyrl-RS"/>
        </w:rPr>
        <w:t xml:space="preserve"> Покрајинског секретаријата за социјалну политику, демографију и равноправност полова (у даљем тексту: Секретаријат)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за финансирање реализације програма или за обезбеђивање недостајућег дела средстава за финансирање програма од јавног интереса, које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</w:t>
      </w:r>
      <w:r w:rsidR="00C10B59">
        <w:rPr>
          <w:rFonts w:asciiTheme="minorHAnsi" w:eastAsia="Times New Roman" w:hAnsiTheme="minorHAnsi"/>
          <w:noProof/>
          <w:lang w:val="sr-Cyrl-RS"/>
        </w:rPr>
        <w:t>е пронаталитетне политике у 2018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. години, </w:t>
      </w:r>
      <w:r w:rsidR="003603BD" w:rsidRPr="00CB2D60">
        <w:rPr>
          <w:rFonts w:asciiTheme="minorHAnsi" w:eastAsia="Times New Roman" w:hAnsiTheme="minorHAnsi"/>
          <w:noProof/>
          <w:lang w:val="sr-Cyrl-RS"/>
        </w:rPr>
        <w:t xml:space="preserve">као и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начин спровођења јавног конкурса за избор програма удружења грађана и права и обавезе удружења грађана чији се програм финансира, односно суфинансира.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2.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</w:rPr>
        <w:tab/>
      </w:r>
      <w:r w:rsidR="00AB396C" w:rsidRPr="00CB2D60">
        <w:rPr>
          <w:rFonts w:asciiTheme="minorHAnsi" w:eastAsia="Times New Roman" w:hAnsiTheme="minorHAnsi"/>
          <w:noProof/>
          <w:lang w:val="sr-Cyrl-RS"/>
        </w:rPr>
        <w:t xml:space="preserve">Средства из члана 1.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AB396C" w:rsidRPr="00CB2D60">
        <w:rPr>
          <w:rFonts w:asciiTheme="minorHAnsi" w:eastAsia="Times New Roman" w:hAnsiTheme="minorHAnsi"/>
          <w:noProof/>
          <w:lang w:val="sr-Cyrl-RS"/>
        </w:rPr>
        <w:t xml:space="preserve">равилника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планирана су чланом 11. Покрајинске скупштинске одлуке о буџету Аутон</w:t>
      </w:r>
      <w:r w:rsidR="00C10B59">
        <w:rPr>
          <w:rFonts w:asciiTheme="minorHAnsi" w:eastAsia="Times New Roman" w:hAnsiTheme="minorHAnsi"/>
          <w:noProof/>
          <w:lang w:val="sr-Cyrl-RS"/>
        </w:rPr>
        <w:t>омне покрајине Војводине за 2018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. годину („Службени лист АПВ”, број </w:t>
      </w:r>
      <w:r w:rsidR="00C10B59">
        <w:rPr>
          <w:rFonts w:asciiTheme="minorHAnsi" w:eastAsia="Times New Roman" w:hAnsiTheme="minorHAnsi"/>
          <w:noProof/>
          <w:lang w:val="sr-Cyrl-RS"/>
        </w:rPr>
        <w:t>57/17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), у разделу </w:t>
      </w:r>
      <w:r w:rsidR="00C10B59">
        <w:rPr>
          <w:rFonts w:asciiTheme="minorHAnsi" w:eastAsia="Times New Roman" w:hAnsiTheme="minorHAnsi"/>
          <w:noProof/>
          <w:lang w:val="sr-Cyrl-RS"/>
        </w:rPr>
        <w:t>09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Покрајински секретаријат за социјалну политику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,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демографију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 xml:space="preserve"> и равноправност полова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, за реализацију програмских активности у оквиру следећих програма:</w:t>
      </w:r>
    </w:p>
    <w:p w:rsidR="00BE5F16" w:rsidRDefault="00BE5F16" w:rsidP="000C45DF">
      <w:pPr>
        <w:pStyle w:val="ListParagraph"/>
        <w:numPr>
          <w:ilvl w:val="0"/>
          <w:numId w:val="2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0902 Социјална заштита, Програмска активност 10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15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грађана за финансирање пројеката у области социјалне заштите и заштите лица са инвалидитетом;</w:t>
      </w:r>
    </w:p>
    <w:p w:rsidR="00CB2D60" w:rsidRDefault="00BE5F16" w:rsidP="000C45DF">
      <w:pPr>
        <w:pStyle w:val="ListParagraph"/>
        <w:numPr>
          <w:ilvl w:val="0"/>
          <w:numId w:val="2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 xml:space="preserve"> Програм 0903 Породично-правна заштита грађана, Програмска активност 100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6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грађана за подршку друштвене бриге о деци и популаризацију пронаталитетне политике;</w:t>
      </w:r>
    </w:p>
    <w:p w:rsidR="00C10B59" w:rsidRPr="000C45DF" w:rsidRDefault="00BE5F16" w:rsidP="000C45DF">
      <w:pPr>
        <w:pStyle w:val="ListParagraph"/>
        <w:numPr>
          <w:ilvl w:val="0"/>
          <w:numId w:val="2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0904 Борачко-инвалидска заштита, Програмска активност 100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4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и невладиним организацијама у обл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асти борачко-инвалидске заштите.</w:t>
      </w:r>
    </w:p>
    <w:p w:rsidR="000C45DF" w:rsidRPr="00382105" w:rsidRDefault="000C45DF" w:rsidP="000C45DF">
      <w:pPr>
        <w:pStyle w:val="ListParagraph"/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3.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Удружењима грађана средства из члана 2. ов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додељују се за финансирање реализације програма или за обезбеђивање недостајућег дела средстава за финансирање програма и програмских активности и неопходних функционалних ра</w:t>
      </w:r>
      <w:r w:rsidR="00811C21" w:rsidRPr="00CB2D60">
        <w:rPr>
          <w:rFonts w:asciiTheme="minorHAnsi" w:eastAsia="Times New Roman" w:hAnsiTheme="minorHAnsi"/>
          <w:noProof/>
          <w:lang w:val="sr-Cyrl-RS"/>
        </w:rPr>
        <w:t>схода (у даљем тексту: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 xml:space="preserve"> програм)</w:t>
      </w:r>
      <w:r w:rsidR="00493FAD" w:rsidRPr="00CB2D60">
        <w:rPr>
          <w:rFonts w:asciiTheme="minorHAnsi" w:eastAsia="Times New Roman" w:hAnsiTheme="minorHAnsi"/>
          <w:noProof/>
        </w:rPr>
        <w:t>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4.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Средства из члан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 xml:space="preserve">а 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могу се доделити удружењи</w:t>
      </w:r>
      <w:r w:rsidR="00811C21" w:rsidRPr="00CB2D60">
        <w:rPr>
          <w:rFonts w:asciiTheme="minorHAnsi" w:eastAsia="Times New Roman" w:hAnsiTheme="minorHAnsi"/>
          <w:noProof/>
          <w:lang w:val="sr-Cyrl-RS"/>
        </w:rPr>
        <w:t>ма грађана уписаним у регистар код надлежног органа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програме који се реализују на територији Аутономне покрајине Војводине.</w:t>
      </w:r>
    </w:p>
    <w:p w:rsidR="00BE5F16" w:rsidRPr="00CB2D60" w:rsidRDefault="00E537A8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Средства из члана 1.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не додељују се: физичким лицима, индиректним корисницима буџета Аутономне покрајине Војводине,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влада. 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5.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084138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C42380" w:rsidRPr="00CB2D60">
        <w:rPr>
          <w:rFonts w:asciiTheme="minorHAnsi" w:eastAsia="Times New Roman" w:hAnsiTheme="minorHAnsi"/>
          <w:noProof/>
          <w:lang w:val="sr-Cyrl-RS"/>
        </w:rPr>
        <w:t>Додела с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редстава из члана 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равилника спровод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и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се путем јавног конкурса који расписује Секретаријат, најмање једном годишње, за следеће области од јавног интереса: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област социјалне заштите и заштите лица са инвалидитетом; 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област борачко-инвалидске заштите;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област друштвене бриге о деци и популаризације пронаталитетне политике. 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Јавни конкурс из става 1. овог члана објављује се у „Службеном листу Аутономне покрајине Војводине”, у јавном гласилу које покрива целу територију Аутономне покрајине Војводине и на интернет страници Секретаријата </w:t>
      </w:r>
      <w:hyperlink r:id="rId9" w:history="1">
        <w:r w:rsidR="00410990" w:rsidRPr="00CB2D60">
          <w:rPr>
            <w:rStyle w:val="Hyperlink"/>
            <w:rFonts w:asciiTheme="minorHAnsi" w:eastAsia="Times New Roman" w:hAnsiTheme="minorHAnsi"/>
            <w:noProof/>
            <w:color w:val="auto"/>
            <w:u w:val="none"/>
            <w:lang w:val="sr-Cyrl-RS"/>
          </w:rPr>
          <w:t>www.</w:t>
        </w:r>
        <w:r w:rsidR="00410990" w:rsidRPr="00CB2D60">
          <w:rPr>
            <w:rStyle w:val="Hyperlink"/>
            <w:rFonts w:asciiTheme="minorHAnsi" w:eastAsia="Times New Roman" w:hAnsiTheme="minorHAnsi"/>
            <w:noProof/>
            <w:color w:val="auto"/>
            <w:u w:val="none"/>
            <w:lang w:val="sr-Latn-RS"/>
          </w:rPr>
          <w:t>socijalna</w:t>
        </w:r>
      </w:hyperlink>
      <w:r w:rsidR="00410990" w:rsidRPr="00CB2D60">
        <w:rPr>
          <w:rFonts w:asciiTheme="minorHAnsi" w:eastAsia="Times New Roman" w:hAnsiTheme="minorHAnsi"/>
          <w:noProof/>
        </w:rPr>
        <w:t>politika</w:t>
      </w:r>
      <w:r w:rsidRPr="00CB2D60">
        <w:rPr>
          <w:rFonts w:asciiTheme="minorHAnsi" w:eastAsia="Times New Roman" w:hAnsiTheme="minorHAnsi"/>
          <w:noProof/>
          <w:lang w:val="sr-Cyrl-RS"/>
        </w:rPr>
        <w:t>.vojvodina.gov.rs.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Рок за подношење пријава на јавни конкурс не може бити краћи од 15 дана од дана објављивања јавног конкурса.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6.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F77443" w:rsidRPr="00CB2D60">
        <w:rPr>
          <w:rFonts w:asciiTheme="minorHAnsi" w:eastAsia="Times New Roman" w:hAnsiTheme="minorHAnsi"/>
          <w:noProof/>
          <w:lang w:val="sr-Cyrl-RS"/>
        </w:rPr>
        <w:t xml:space="preserve">Јавни конкурс из члана 5.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F77443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садр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жи податке о акту на основу ког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се расписује јавни конкурс, област од јавног интереса ко</w:t>
      </w:r>
      <w:r w:rsidR="00B017C0" w:rsidRPr="00CB2D60">
        <w:rPr>
          <w:rFonts w:asciiTheme="minorHAnsi" w:eastAsia="Times New Roman" w:hAnsiTheme="minorHAnsi"/>
          <w:noProof/>
          <w:lang w:val="sr-Cyrl-RS"/>
        </w:rPr>
        <w:t xml:space="preserve">ја се подстиче или подржава, </w:t>
      </w:r>
      <w:r w:rsidRPr="00CB2D60">
        <w:rPr>
          <w:rFonts w:asciiTheme="minorHAnsi" w:eastAsia="Times New Roman" w:hAnsiTheme="minorHAnsi"/>
          <w:noProof/>
          <w:lang w:val="sr-Cyrl-RS"/>
        </w:rPr>
        <w:t>податке о висини укупних средстава која се додељују по јавном конкурсу, задат</w:t>
      </w:r>
      <w:r w:rsidR="00EE1DDF" w:rsidRPr="00CB2D60">
        <w:rPr>
          <w:rFonts w:asciiTheme="minorHAnsi" w:eastAsia="Times New Roman" w:hAnsiTheme="minorHAnsi"/>
          <w:noProof/>
          <w:lang w:val="sr-Cyrl-RS"/>
        </w:rPr>
        <w:t>ак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који је предме</w:t>
      </w:r>
      <w:r w:rsidR="00FD41F6" w:rsidRPr="00CB2D60">
        <w:rPr>
          <w:rFonts w:asciiTheme="minorHAnsi" w:eastAsia="Times New Roman" w:hAnsiTheme="minorHAnsi"/>
          <w:noProof/>
          <w:lang w:val="sr-Cyrl-RS"/>
        </w:rPr>
        <w:t>т јавног конкурса и рок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његов завршетак, 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 xml:space="preserve">податке о </w:t>
      </w:r>
      <w:r w:rsidRPr="00CB2D60">
        <w:rPr>
          <w:rFonts w:asciiTheme="minorHAnsi" w:eastAsia="Times New Roman" w:hAnsiTheme="minorHAnsi"/>
          <w:noProof/>
          <w:lang w:val="sr-Cyrl-RS"/>
        </w:rPr>
        <w:t>кругу могућих учесника на јавном конкурсу, начину и року за подношење пријава н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>а јавни конкурс,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критеријумима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 xml:space="preserve"> и мерилима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оцену пријава, обавезној документацији која се подноси уз пријаву, као и друге податке важне за спровођење јавног конкурса. </w:t>
      </w:r>
    </w:p>
    <w:p w:rsidR="00BE5F16" w:rsidRPr="00CB2D60" w:rsidRDefault="00C10B59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lastRenderedPageBreak/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>Јавни конкурс може да садржи податак о максималном износу средстава која се додељују удружењу грађана путем јавног конкурса за одређену област, као и податак о броју пријава које на јавни конкурс може поднети удружење грађана.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0A5340" w:rsidRPr="00CB2D60" w:rsidRDefault="000A5340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7.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Пријава на јавни конкурс подноси се на обрасцу пријаве чију с</w:t>
      </w:r>
      <w:r w:rsidR="004852FF" w:rsidRPr="00CB2D60">
        <w:rPr>
          <w:rFonts w:asciiTheme="minorHAnsi" w:eastAsia="Times New Roman" w:hAnsiTheme="minorHAnsi"/>
          <w:noProof/>
          <w:lang w:val="sr-Cyrl-RS"/>
        </w:rPr>
        <w:t xml:space="preserve">адржину утврђује Секретаријат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(</w:t>
      </w:r>
      <w:r w:rsidR="004852FF" w:rsidRPr="00CB2D60">
        <w:rPr>
          <w:rFonts w:asciiTheme="minorHAnsi" w:eastAsia="Times New Roman" w:hAnsiTheme="minorHAnsi"/>
          <w:noProof/>
          <w:lang w:val="sr-Cyrl-RS"/>
        </w:rPr>
        <w:t>један примерак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)</w:t>
      </w:r>
      <w:r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0A5340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Уз пријаву из става 1. овог члана, прилаже се следећа обавезна документација: фотокопија ОП обрасца (оверени потписи лица овлашћених за заступање) и фотокопија извода из </w:t>
      </w:r>
      <w:r w:rsidR="008B04FA" w:rsidRPr="00CB2D60">
        <w:rPr>
          <w:rFonts w:asciiTheme="minorHAnsi" w:eastAsia="Times New Roman" w:hAnsiTheme="minorHAnsi"/>
          <w:noProof/>
          <w:lang w:val="sr-Cyrl-RS"/>
        </w:rPr>
        <w:t>с</w:t>
      </w:r>
      <w:r w:rsidRPr="00CB2D60">
        <w:rPr>
          <w:rFonts w:asciiTheme="minorHAnsi" w:eastAsia="Times New Roman" w:hAnsiTheme="minorHAnsi"/>
          <w:noProof/>
          <w:lang w:val="sr-Cyrl-RS"/>
        </w:rPr>
        <w:t>татута удружења у коме је утврђено да се циљеви удружења остварују у области у којој се програм реализује.</w:t>
      </w: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8.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Неблаговремене и непотпуне пријаве, пријаве које нису поднела овлашћена лица и пријаве које нису поднете на утврђеном обрасцу – неће се разматрати.</w:t>
      </w:r>
    </w:p>
    <w:p w:rsidR="00BE5F16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Пријаве подносилаца којима су додељивана средства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путем </w:t>
      </w:r>
      <w:r w:rsidRPr="00CB2D60">
        <w:rPr>
          <w:rFonts w:asciiTheme="minorHAnsi" w:eastAsia="Times New Roman" w:hAnsiTheme="minorHAnsi"/>
          <w:noProof/>
          <w:lang w:val="sr-Cyrl-RS"/>
        </w:rPr>
        <w:t>јавн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конкурса Секретаријата, а који нису доставили извештај о наменском утрошку средстава с документацијом – неће се разматрати. </w:t>
      </w:r>
    </w:p>
    <w:p w:rsidR="00C10B59" w:rsidRPr="00CB2D60" w:rsidRDefault="00C10B59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  <w:t>Пријаве подносилаца којима је тражен износ већи од максимално предвиђеног неће се разматрати.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9.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307460" w:rsidRPr="00CB2D60">
        <w:rPr>
          <w:rFonts w:asciiTheme="minorHAnsi" w:eastAsia="Times New Roman" w:hAnsiTheme="minorHAnsi"/>
          <w:noProof/>
          <w:lang w:val="sr-Cyrl-RS"/>
        </w:rPr>
        <w:t>Поступак јавног конкурса за доделу средстава спроводи комисија коју образује п</w:t>
      </w:r>
      <w:r w:rsidRPr="00CB2D60">
        <w:rPr>
          <w:rFonts w:asciiTheme="minorHAnsi" w:eastAsia="Times New Roman" w:hAnsiTheme="minorHAnsi"/>
          <w:noProof/>
          <w:lang w:val="sr-Cyrl-RS"/>
        </w:rPr>
        <w:t>окрајински секретар за социјалну политику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, </w:t>
      </w:r>
      <w:r w:rsidRPr="00CB2D60">
        <w:rPr>
          <w:rFonts w:asciiTheme="minorHAnsi" w:eastAsia="Times New Roman" w:hAnsiTheme="minorHAnsi"/>
          <w:noProof/>
          <w:lang w:val="sr-Cyrl-RS"/>
        </w:rPr>
        <w:t>демографију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 и равноправност полова</w:t>
      </w:r>
      <w:r w:rsidR="00307460" w:rsidRPr="00CB2D60">
        <w:rPr>
          <w:rFonts w:asciiTheme="minorHAnsi" w:eastAsia="Times New Roman" w:hAnsiTheme="minorHAnsi"/>
          <w:noProof/>
          <w:lang w:val="sr-Cyrl-RS"/>
        </w:rPr>
        <w:t xml:space="preserve">, решењем којим се утврђује састав и задаци </w:t>
      </w:r>
      <w:r w:rsidR="00922A18" w:rsidRPr="00CB2D60">
        <w:rPr>
          <w:rFonts w:asciiTheme="minorHAnsi" w:eastAsia="Times New Roman" w:hAnsiTheme="minorHAnsi"/>
          <w:noProof/>
          <w:lang w:val="sr-Cyrl-RS"/>
        </w:rPr>
        <w:t>комисије</w:t>
      </w:r>
      <w:r w:rsidR="00307460" w:rsidRPr="00CB2D60">
        <w:rPr>
          <w:rFonts w:asciiTheme="minorHAnsi" w:eastAsia="Times New Roman" w:hAnsiTheme="minorHAnsi"/>
          <w:noProof/>
          <w:lang w:val="sr-Cyrl-RS"/>
        </w:rPr>
        <w:t xml:space="preserve"> који се именују из реда запослених у Секретаријату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BE5F16" w:rsidRDefault="00922A18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Комисија из става 1. овог члана има председника 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и два члана. К</w:t>
      </w:r>
      <w:r w:rsidRPr="00CB2D60">
        <w:rPr>
          <w:rFonts w:asciiTheme="minorHAnsi" w:eastAsia="Times New Roman" w:hAnsiTheme="minorHAnsi"/>
          <w:noProof/>
          <w:lang w:val="sr-Cyrl-RS"/>
        </w:rPr>
        <w:t>омисија на првој седници бира председника комисије који кординира радом комисије и води седнице.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162A86" w:rsidRPr="00CB2D60">
        <w:rPr>
          <w:rFonts w:asciiTheme="minorHAnsi" w:eastAsia="Times New Roman" w:hAnsiTheme="minorHAnsi"/>
          <w:noProof/>
          <w:lang w:val="sr-Cyrl-RS"/>
        </w:rPr>
        <w:t>Комисија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ради и одлучује у пуном саставу и о свом раду води записник. Комисија одлуке доноси већином од укупног броја чланова.</w:t>
      </w:r>
    </w:p>
    <w:p w:rsidR="00C10B59" w:rsidRPr="00CB2D60" w:rsidRDefault="00C10B59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  <w:t>Чланови комисије, након доношења решења из става 1.овог члана, потписиују изјаву којом потврђују да у предметном конкурсу нису у сукобу интереса. Уколико у току поступка јавног конкурса сазнају да могу доћи у сукоб интереса, чланови комисије о томе без одлагања обавештавају покрајинског секретара, који предузима потребне мере како не би било штетних последица у даљем току постуока јавног конкурса.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10.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процењује и вреднује програм удружења грађана применом следећих критеријума, доделом одговарајућег броја бодова: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525CF0" w:rsidRPr="00CB2D60" w:rsidRDefault="00BE5F16" w:rsidP="000C45DF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hanging="81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Према референцама програма за област у којој се реализује програм 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  </w:t>
      </w:r>
    </w:p>
    <w:p w:rsidR="00BE5F16" w:rsidRDefault="00BE5F16" w:rsidP="000C45DF">
      <w:pPr>
        <w:tabs>
          <w:tab w:val="left" w:pos="0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(укупно највише до 30 бодова):</w:t>
      </w:r>
    </w:p>
    <w:p w:rsidR="00BE5F16" w:rsidRDefault="00BE5F16" w:rsidP="000C45DF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CB2D60" w:rsidRDefault="00BE5F16" w:rsidP="000C45DF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број директних кори</w:t>
      </w:r>
      <w:r w:rsidR="00CB2D60">
        <w:rPr>
          <w:rFonts w:asciiTheme="minorHAnsi" w:eastAsia="Times New Roman" w:hAnsiTheme="minorHAnsi"/>
          <w:noProof/>
          <w:lang w:val="sr-Cyrl-RS"/>
        </w:rPr>
        <w:t>сника програма (до 10 бодова);</w:t>
      </w:r>
    </w:p>
    <w:p w:rsidR="00BE5F16" w:rsidRPr="00CB2D60" w:rsidRDefault="00BE5F16" w:rsidP="000C45DF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могућност развијања програма и његова одрживост (до 10 бодова).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2.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Према циљевима који се постижу реализацијом програма – допринос степену унапређивања стања у области у којој се програм спроводи (укупно највише до 40 бодова по области за коју је пријава поднета):</w:t>
      </w:r>
    </w:p>
    <w:p w:rsidR="00CB2D60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0C45DF">
      <w:pPr>
        <w:pStyle w:val="ListParagraph"/>
        <w:numPr>
          <w:ilvl w:val="1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лица са инвалидитетом, лица у стању социјалне потребе и лица којима је потребна посебна друштвена подршка;</w:t>
      </w:r>
    </w:p>
    <w:p w:rsidR="00CB2D60" w:rsidRPr="00CB2D60" w:rsidRDefault="00BE5F16" w:rsidP="000C45DF">
      <w:pPr>
        <w:pStyle w:val="ListParagraph"/>
        <w:numPr>
          <w:ilvl w:val="1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као и допринос обележавању значајних датума;</w:t>
      </w:r>
    </w:p>
    <w:p w:rsidR="00BE5F16" w:rsidRPr="00CB2D60" w:rsidRDefault="00BE5F16" w:rsidP="000C45DF">
      <w:pPr>
        <w:pStyle w:val="ListParagraph"/>
        <w:numPr>
          <w:ilvl w:val="1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друштвене бриге о деци и популаризацију пронаталитетне политике: допринос заштити деце, унапређивању дечјег стваралаштва, побољшању услова за задовољење основних потреба деце и бригу о породици, подстицању рађања деце и унапређивању демографског развоја и популационе политике.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3.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CB2D60" w:rsidRPr="00CB2D60" w:rsidRDefault="00BE5F16" w:rsidP="000C45DF">
      <w:pPr>
        <w:pStyle w:val="ListParagraph"/>
        <w:numPr>
          <w:ilvl w:val="0"/>
          <w:numId w:val="5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процена економичности буџета програма и усклађености буџета с планираним активностима (до 10 бодова);</w:t>
      </w:r>
    </w:p>
    <w:p w:rsidR="00CB2D60" w:rsidRPr="00CB2D60" w:rsidRDefault="00BE5F16" w:rsidP="000C45DF">
      <w:pPr>
        <w:pStyle w:val="ListParagraph"/>
        <w:numPr>
          <w:ilvl w:val="0"/>
          <w:numId w:val="5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висина тражених средстава у поређењу са укупним обимом средстава на која се јавни конкурс односи (до 10 бодова);</w:t>
      </w:r>
    </w:p>
    <w:p w:rsidR="00BE5F16" w:rsidRPr="00CB2D60" w:rsidRDefault="00BE5F16" w:rsidP="000C45DF">
      <w:pPr>
        <w:pStyle w:val="ListParagraph"/>
        <w:numPr>
          <w:ilvl w:val="0"/>
          <w:numId w:val="5"/>
        </w:num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степен обезбеђености сопствених средстава или средстава из других извора (до 10 бодова).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11.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сачињава прелиминарну листу вредновања и рангирања пријава удружења грађана на јавни конкур</w:t>
      </w:r>
      <w:r w:rsidR="00AB594B" w:rsidRPr="00CB2D60">
        <w:rPr>
          <w:rFonts w:asciiTheme="minorHAnsi" w:eastAsia="Times New Roman" w:hAnsiTheme="minorHAnsi"/>
          <w:noProof/>
          <w:lang w:val="sr-Cyrl-RS"/>
        </w:rPr>
        <w:t xml:space="preserve">с применом </w:t>
      </w:r>
      <w:r w:rsidRPr="00CB2D60">
        <w:rPr>
          <w:rFonts w:asciiTheme="minorHAnsi" w:eastAsia="Times New Roman" w:hAnsiTheme="minorHAnsi"/>
          <w:noProof/>
          <w:lang w:val="sr-Cyrl-RS"/>
        </w:rPr>
        <w:t>критеријума из члана 10. ове одлуке, у року који не може бити дужи од 60 дана од дана истека рока за подношење пријава.</w:t>
      </w:r>
    </w:p>
    <w:p w:rsidR="00BE5F16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Листе из става 1. овог члана објављују се на интернет страници Секретаријата и учесници јавног конкурса имају право увида у поднете пријаве и приложену документацију у </w:t>
      </w:r>
      <w:r w:rsidR="00863F7E" w:rsidRPr="00CB2D60">
        <w:rPr>
          <w:rFonts w:asciiTheme="minorHAnsi" w:eastAsia="Times New Roman" w:hAnsiTheme="minorHAnsi"/>
          <w:noProof/>
          <w:lang w:val="sr-Cyrl-RS"/>
        </w:rPr>
        <w:t>року од три дана од дана њеног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објављивања.</w:t>
      </w:r>
    </w:p>
    <w:p w:rsidR="00403334" w:rsidRPr="00CB2D60" w:rsidRDefault="0040333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На листу </w:t>
      </w:r>
      <w:r w:rsidRPr="00CB2D60">
        <w:rPr>
          <w:rFonts w:asciiTheme="minorHAnsi" w:eastAsia="Times New Roman" w:hAnsiTheme="minorHAnsi"/>
          <w:noProof/>
          <w:lang w:val="sr-Cyrl-RS"/>
        </w:rPr>
        <w:t>из става 1. овог члана</w:t>
      </w:r>
      <w:r>
        <w:rPr>
          <w:rFonts w:asciiTheme="minorHAnsi" w:eastAsia="Times New Roman" w:hAnsiTheme="minorHAnsi"/>
          <w:noProof/>
          <w:lang w:val="sr-Cyrl-RS"/>
        </w:rPr>
        <w:t xml:space="preserve"> </w:t>
      </w:r>
      <w:r w:rsidRPr="00CB2D60">
        <w:rPr>
          <w:rFonts w:asciiTheme="minorHAnsi" w:eastAsia="Times New Roman" w:hAnsiTheme="minorHAnsi"/>
          <w:noProof/>
          <w:lang w:val="sr-Cyrl-RS"/>
        </w:rPr>
        <w:t>учесници јавног конкурса имају право</w:t>
      </w:r>
      <w:r>
        <w:rPr>
          <w:rFonts w:asciiTheme="minorHAnsi" w:eastAsia="Times New Roman" w:hAnsiTheme="minorHAnsi"/>
          <w:noProof/>
          <w:lang w:val="sr-Cyrl-RS"/>
        </w:rPr>
        <w:t xml:space="preserve"> приговора у року од осам дана од дана њеног објављивања. </w:t>
      </w:r>
    </w:p>
    <w:p w:rsidR="00BE5F16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Одлуку о приговору учесника јавног конкурса на листу из става 1. овог члана доноси комисија у року од 15 дана од дана његовог пријема.</w:t>
      </w:r>
    </w:p>
    <w:p w:rsidR="00403334" w:rsidRDefault="0040333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403334" w:rsidRDefault="00403334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lastRenderedPageBreak/>
        <w:t>Члан 12.</w:t>
      </w:r>
    </w:p>
    <w:p w:rsidR="00403334" w:rsidRPr="00CB2D60" w:rsidRDefault="00403334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403334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403334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Решење из става 1. овог члана објављује се на интернет страници Секретаријата.</w:t>
      </w:r>
    </w:p>
    <w:p w:rsidR="00A5295A" w:rsidRPr="00CB2D60" w:rsidRDefault="00A5295A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13.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192FBE" w:rsidRPr="00CB2D60">
        <w:rPr>
          <w:rFonts w:asciiTheme="minorHAnsi" w:eastAsia="Times New Roman" w:hAnsiTheme="minorHAnsi"/>
          <w:noProof/>
          <w:lang w:val="sr-Cyrl-RS"/>
        </w:rPr>
        <w:t xml:space="preserve">На основу решења из члана 12.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192FBE" w:rsidRPr="00CB2D60">
        <w:rPr>
          <w:rFonts w:asciiTheme="minorHAnsi" w:eastAsia="Times New Roman" w:hAnsiTheme="minorHAnsi"/>
          <w:noProof/>
          <w:lang w:val="sr-Cyrl-RS"/>
        </w:rPr>
        <w:t>равилника, Секретаријат и корисник средстава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закључују уговор којим се уређују међусобна права, обавезе и одговорности уговорних страна, а нарочито: предмет програма, рок у коме се програм реализује, износ средстава, инструменте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програма. </w:t>
      </w:r>
    </w:p>
    <w:p w:rsidR="002552CC" w:rsidRPr="00CB2D60" w:rsidRDefault="0040333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="002552CC" w:rsidRPr="00CB2D60">
        <w:rPr>
          <w:rFonts w:asciiTheme="minorHAnsi" w:eastAsia="Times New Roman" w:hAnsiTheme="minorHAnsi"/>
          <w:noProof/>
          <w:lang w:val="sr-Cyrl-RS"/>
        </w:rPr>
        <w:t>Корисник средстава, приликом закључења уговора  из става 1. овог члана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,</w:t>
      </w:r>
      <w:r w:rsidR="002552CC" w:rsidRPr="00CB2D60">
        <w:rPr>
          <w:rFonts w:asciiTheme="minorHAnsi" w:eastAsia="Times New Roman" w:hAnsiTheme="minorHAnsi"/>
          <w:noProof/>
          <w:lang w:val="sr-Cyrl-RS"/>
        </w:rPr>
        <w:t xml:space="preserve"> дужан је да</w:t>
      </w:r>
      <w:r w:rsidR="000031BC" w:rsidRPr="00CB2D60">
        <w:rPr>
          <w:rFonts w:asciiTheme="minorHAnsi" w:eastAsia="Times New Roman" w:hAnsiTheme="minorHAnsi"/>
          <w:noProof/>
        </w:rPr>
        <w:t xml:space="preserve"> -</w:t>
      </w:r>
      <w:r w:rsidR="002552CC" w:rsidRPr="00CB2D60">
        <w:rPr>
          <w:rFonts w:asciiTheme="minorHAnsi" w:eastAsia="Times New Roman" w:hAnsiTheme="minorHAnsi"/>
          <w:noProof/>
          <w:lang w:val="sr-Cyrl-RS"/>
        </w:rPr>
        <w:t xml:space="preserve"> као гаранцију уредног извршења својих уговорних обавеза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-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преда меничну и</w:t>
      </w:r>
      <w:r w:rsidR="000031BC" w:rsidRPr="00CB2D60">
        <w:rPr>
          <w:rFonts w:asciiTheme="minorHAnsi" w:eastAsia="Times New Roman" w:hAnsiTheme="minorHAnsi"/>
          <w:noProof/>
          <w:lang w:val="sr-Cyrl-RS"/>
        </w:rPr>
        <w:t>зјаву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 xml:space="preserve"> с бланко меницом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и овлашће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ње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м и фотокопију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картона депонованих потписа лица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која је овластила пословна банка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, на дан закључења уговора.</w:t>
      </w:r>
    </w:p>
    <w:p w:rsidR="00CB2D60" w:rsidRPr="00382105" w:rsidRDefault="0040333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У случају да корисник средстава не  изврши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уговорне обавезе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или да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их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делимично изврши, Секретаријат ће попунити меницу укупним износом новчаног дуговања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 xml:space="preserve"> корисника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средстава на дан попуњавања као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„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меницу са доспећем по виђењу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”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, с клаузулом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„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без </w:t>
      </w:r>
      <w:r w:rsidR="00C7711D" w:rsidRPr="00CB2D60">
        <w:rPr>
          <w:rFonts w:asciiTheme="minorHAnsi" w:eastAsia="Times New Roman" w:hAnsiTheme="minorHAnsi"/>
          <w:noProof/>
          <w:lang w:val="sr-Cyrl-RS"/>
        </w:rPr>
        <w:t>протеста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”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коју ће активирати ради наплате. Секретаријат је обавезан да меницу врати удружењу грађана након реализације предмета уговора у целости уколико је не искористи у складу са ставом 2. овог члана.</w:t>
      </w:r>
    </w:p>
    <w:p w:rsidR="00CB2D60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14.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Секретаријат преноси додељена средства на основу уговора из члана 13. ове одлуке на рачун удружења грађана – корисника средстава у складу с ликвидним могућностима буџета Аутономне покрајине Војводине.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15.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40333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Средства додељена по јавном конкурсу удружења грађана – корисници средстава могу користити искључиво за намене за које су додељена и у обавези су да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врате неутрошена средства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. Уколико буде утврђено да удружење грађана – корисник средстава по јавном конкурсу средства није користио наменски, Секретаријат ће затражити повраћај пренетих средстава са законском затезном каматом, рачунајући од дана уплате до дана поврата додељених средстава.</w:t>
      </w:r>
    </w:p>
    <w:p w:rsidR="006F4B5D" w:rsidRPr="00CB2D60" w:rsidRDefault="0085442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орисник средстава по јавном конкурсу дуж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– корисника средстава.</w:t>
      </w: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Члан 16.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Удружења грађана – корисници средстава по јавном конкурсу – дужн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и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су да, након реализације програма, Секретаријату поднесу извештај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(</w:t>
      </w:r>
      <w:r w:rsidR="00A23A62" w:rsidRPr="00CB2D60">
        <w:rPr>
          <w:rFonts w:asciiTheme="minorHAnsi" w:eastAsia="Times New Roman" w:hAnsiTheme="minorHAnsi"/>
          <w:noProof/>
          <w:lang w:val="sr-Cyrl-RS"/>
        </w:rPr>
        <w:t>наративни и финансијски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)</w:t>
      </w:r>
      <w:r w:rsidR="00A23A62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84CC5" w:rsidRPr="00CB2D60">
        <w:rPr>
          <w:rFonts w:asciiTheme="minorHAnsi" w:eastAsia="Times New Roman" w:hAnsiTheme="minorHAnsi"/>
          <w:noProof/>
          <w:lang w:val="sr-Cyrl-RS"/>
        </w:rPr>
        <w:t>о коришћењу средстава на обрасцима које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 xml:space="preserve"> прописује Секретаријат и у року који је утврђен уговором.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У</w:t>
      </w:r>
      <w:r w:rsidR="003B0AB4" w:rsidRPr="00CB2D60">
        <w:rPr>
          <w:rFonts w:asciiTheme="minorHAnsi" w:eastAsia="Times New Roman" w:hAnsiTheme="minorHAnsi"/>
          <w:noProof/>
          <w:lang w:val="sr-Cyrl-RS"/>
        </w:rPr>
        <w:t xml:space="preserve">з финансијски извештај доставља се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и 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 xml:space="preserve">књиговодствена </w:t>
      </w:r>
      <w:r w:rsidR="003B0AB4" w:rsidRPr="00CB2D60">
        <w:rPr>
          <w:rFonts w:asciiTheme="minorHAnsi" w:eastAsia="Times New Roman" w:hAnsiTheme="minorHAnsi"/>
          <w:noProof/>
          <w:lang w:val="sr-Cyrl-RS"/>
        </w:rPr>
        <w:t>документација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22109C" w:rsidRPr="00CB2D60">
        <w:rPr>
          <w:rFonts w:asciiTheme="minorHAnsi" w:eastAsia="Times New Roman" w:hAnsiTheme="minorHAnsi"/>
          <w:noProof/>
          <w:lang w:val="sr-Cyrl-RS"/>
        </w:rPr>
        <w:t>којом се правда законско и наме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нско трошење п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рене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тих средстава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,</w:t>
      </w:r>
      <w:r w:rsidR="000569CD" w:rsidRPr="00CB2D60">
        <w:rPr>
          <w:rFonts w:asciiTheme="minorHAnsi" w:eastAsia="Times New Roman" w:hAnsiTheme="minorHAnsi"/>
          <w:noProof/>
          <w:lang w:val="sr-Cyrl-RS"/>
        </w:rPr>
        <w:t xml:space="preserve"> а коју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 xml:space="preserve"> мора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ју 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>оверити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лица овлашћена з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а заступање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>, односно координатор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 xml:space="preserve"> пројекта.</w:t>
      </w:r>
    </w:p>
    <w:p w:rsidR="00BE5F16" w:rsidRPr="00CB2D60" w:rsidRDefault="003B0AB4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17.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Удружења грађана – корисници средстава по јавном конкурсу –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Војводина, Покрајински секретаријат за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социјалну политику, демографију и равноправност полова</w:t>
      </w:r>
      <w:r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BE5F16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18.</w:t>
      </w:r>
    </w:p>
    <w:p w:rsidR="00EA1D72" w:rsidRPr="00CB2D60" w:rsidRDefault="00EA1D72" w:rsidP="000C45DF">
      <w:pPr>
        <w:tabs>
          <w:tab w:val="left" w:pos="485"/>
        </w:tabs>
        <w:spacing w:after="0"/>
        <w:jc w:val="center"/>
        <w:rPr>
          <w:rFonts w:asciiTheme="minorHAnsi" w:eastAsia="Times New Roman" w:hAnsiTheme="minorHAnsi"/>
          <w:noProof/>
          <w:lang w:val="sr-Cyrl-RS"/>
        </w:rPr>
      </w:pPr>
    </w:p>
    <w:p w:rsidR="00605607" w:rsidRPr="00CB2D60" w:rsidRDefault="00BE5F16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 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Ова</w:t>
      </w:r>
      <w:r w:rsidR="006F4B5D" w:rsidRPr="00CB2D60">
        <w:rPr>
          <w:rFonts w:asciiTheme="minorHAnsi" w:eastAsia="Times New Roman" w:hAnsiTheme="minorHAnsi"/>
          <w:noProof/>
          <w:lang w:val="sr-Cyrl-RS"/>
        </w:rPr>
        <w:t xml:space="preserve">ј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6F4B5D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ступа на снагу наредног дана од дана објављивања у „Службеном листу Аутономне покрајине Војводине”.</w:t>
      </w:r>
    </w:p>
    <w:p w:rsidR="008169D7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CB2D60" w:rsidRPr="00CB2D60" w:rsidRDefault="00CB2D60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8169D7" w:rsidRPr="00CB2D60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Република Србија</w:t>
      </w:r>
    </w:p>
    <w:p w:rsidR="008169D7" w:rsidRPr="00CB2D60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Аутономна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окрајина Војводина</w:t>
      </w:r>
    </w:p>
    <w:p w:rsidR="008169D7" w:rsidRPr="00CB2D60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Покрајински секретаријат за социјалну политику,</w:t>
      </w:r>
    </w:p>
    <w:p w:rsidR="008169D7" w:rsidRPr="00CB2D60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демографију и равноправност полова</w:t>
      </w:r>
    </w:p>
    <w:p w:rsidR="008169D7" w:rsidRPr="00423CD3" w:rsidRDefault="008169D7" w:rsidP="000C45DF">
      <w:pPr>
        <w:tabs>
          <w:tab w:val="left" w:pos="485"/>
        </w:tabs>
        <w:spacing w:after="0"/>
        <w:jc w:val="both"/>
        <w:rPr>
          <w:rFonts w:asciiTheme="minorHAnsi" w:hAnsiTheme="minorHAnsi"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Број</w:t>
      </w:r>
      <w:bookmarkStart w:id="0" w:name="_GoBack"/>
      <w:r w:rsidRPr="00423CD3">
        <w:rPr>
          <w:rFonts w:asciiTheme="minorHAnsi" w:eastAsia="Times New Roman" w:hAnsiTheme="minorHAnsi"/>
          <w:noProof/>
          <w:lang w:val="sr-Cyrl-RS"/>
        </w:rPr>
        <w:t>:</w:t>
      </w:r>
      <w:r w:rsidRPr="00423CD3">
        <w:rPr>
          <w:rFonts w:asciiTheme="minorHAnsi" w:hAnsiTheme="minorHAnsi"/>
          <w:lang w:val="sr-Cyrl-RS"/>
        </w:rPr>
        <w:t xml:space="preserve"> 1</w:t>
      </w:r>
      <w:r w:rsidRPr="00423CD3">
        <w:rPr>
          <w:rFonts w:asciiTheme="minorHAnsi" w:hAnsiTheme="minorHAnsi"/>
        </w:rPr>
        <w:t>3</w:t>
      </w:r>
      <w:r w:rsidRPr="00423CD3">
        <w:rPr>
          <w:rFonts w:asciiTheme="minorHAnsi" w:hAnsiTheme="minorHAnsi"/>
          <w:lang w:val="sr-Cyrl-RS"/>
        </w:rPr>
        <w:t>9-401-</w:t>
      </w:r>
      <w:r w:rsidR="000C45DF" w:rsidRPr="00423CD3">
        <w:rPr>
          <w:rFonts w:asciiTheme="minorHAnsi" w:hAnsiTheme="minorHAnsi"/>
        </w:rPr>
        <w:t>681</w:t>
      </w:r>
      <w:r w:rsidR="003D1B25" w:rsidRPr="00423CD3">
        <w:rPr>
          <w:rFonts w:asciiTheme="minorHAnsi" w:hAnsiTheme="minorHAnsi"/>
          <w:lang w:val="sr-Cyrl-RS"/>
        </w:rPr>
        <w:t>/201</w:t>
      </w:r>
      <w:r w:rsidR="003D1B25" w:rsidRPr="00423CD3">
        <w:rPr>
          <w:rFonts w:asciiTheme="minorHAnsi" w:hAnsiTheme="minorHAnsi"/>
        </w:rPr>
        <w:t>8</w:t>
      </w:r>
      <w:r w:rsidRPr="00423CD3">
        <w:rPr>
          <w:rFonts w:asciiTheme="minorHAnsi" w:hAnsiTheme="minorHAnsi"/>
          <w:lang w:val="sr-Cyrl-RS"/>
        </w:rPr>
        <w:t>-01</w:t>
      </w:r>
    </w:p>
    <w:p w:rsidR="008169D7" w:rsidRPr="003D1B25" w:rsidRDefault="008169D7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color w:val="FF0000"/>
          <w:lang w:val="sr-Cyrl-RS"/>
        </w:rPr>
      </w:pPr>
      <w:r w:rsidRPr="00423CD3">
        <w:rPr>
          <w:rFonts w:asciiTheme="minorHAnsi" w:hAnsiTheme="minorHAnsi"/>
          <w:lang w:val="sr-Cyrl-RS"/>
        </w:rPr>
        <w:t>Дана:</w:t>
      </w:r>
      <w:r w:rsidR="003D1B25" w:rsidRPr="00423CD3">
        <w:rPr>
          <w:rFonts w:asciiTheme="minorHAnsi" w:hAnsiTheme="minorHAnsi"/>
        </w:rPr>
        <w:t>04.04</w:t>
      </w:r>
      <w:r w:rsidR="003D1B25" w:rsidRPr="00423CD3">
        <w:rPr>
          <w:rFonts w:asciiTheme="minorHAnsi" w:hAnsiTheme="minorHAnsi"/>
          <w:lang w:val="sr-Cyrl-RS"/>
        </w:rPr>
        <w:t>.201</w:t>
      </w:r>
      <w:r w:rsidR="003D1B25" w:rsidRPr="00423CD3">
        <w:rPr>
          <w:rFonts w:asciiTheme="minorHAnsi" w:hAnsiTheme="minorHAnsi"/>
        </w:rPr>
        <w:t>8</w:t>
      </w:r>
      <w:r w:rsidRPr="00423CD3">
        <w:rPr>
          <w:rFonts w:asciiTheme="minorHAnsi" w:hAnsiTheme="minorHAnsi"/>
          <w:lang w:val="sr-Cyrl-RS"/>
        </w:rPr>
        <w:t>.године</w:t>
      </w:r>
      <w:bookmarkEnd w:id="0"/>
    </w:p>
    <w:p w:rsidR="00802D08" w:rsidRPr="00CB2D60" w:rsidRDefault="00802D08" w:rsidP="000C45DF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</w:rPr>
      </w:pPr>
    </w:p>
    <w:p w:rsidR="00CB2D60" w:rsidRDefault="00CB2D60" w:rsidP="000C45DF">
      <w:pPr>
        <w:tabs>
          <w:tab w:val="left" w:pos="485"/>
        </w:tabs>
        <w:spacing w:after="0"/>
        <w:jc w:val="right"/>
        <w:rPr>
          <w:rFonts w:asciiTheme="minorHAnsi" w:eastAsia="Times New Roman" w:hAnsiTheme="minorHAnsi"/>
          <w:noProof/>
        </w:rPr>
      </w:pPr>
    </w:p>
    <w:p w:rsidR="00CB2D60" w:rsidRDefault="00CB2D60" w:rsidP="000C45DF">
      <w:pPr>
        <w:tabs>
          <w:tab w:val="left" w:pos="485"/>
        </w:tabs>
        <w:spacing w:after="0"/>
        <w:jc w:val="right"/>
        <w:rPr>
          <w:rFonts w:asciiTheme="minorHAnsi" w:eastAsia="Times New Roman" w:hAnsiTheme="minorHAnsi"/>
          <w:noProof/>
        </w:rPr>
      </w:pPr>
    </w:p>
    <w:p w:rsidR="00605607" w:rsidRPr="00CB2D60" w:rsidRDefault="00605607" w:rsidP="000C45DF">
      <w:pPr>
        <w:tabs>
          <w:tab w:val="left" w:pos="485"/>
        </w:tabs>
        <w:spacing w:after="0"/>
        <w:jc w:val="right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ПОКРАЈИНСКИ СЕКРЕТАР</w:t>
      </w:r>
    </w:p>
    <w:p w:rsidR="00F34635" w:rsidRPr="00CB2D60" w:rsidRDefault="00605607" w:rsidP="000C45DF">
      <w:pPr>
        <w:tabs>
          <w:tab w:val="left" w:pos="485"/>
        </w:tabs>
        <w:spacing w:after="0"/>
        <w:jc w:val="right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Предраг Вулетић  </w:t>
      </w:r>
      <w:r w:rsidR="00DF1594" w:rsidRPr="00CB2D60">
        <w:rPr>
          <w:rFonts w:asciiTheme="minorHAnsi" w:eastAsia="Times New Roman" w:hAnsiTheme="minorHAnsi"/>
          <w:noProof/>
          <w:lang w:val="sr-Cyrl-RS"/>
        </w:rPr>
        <w:tab/>
      </w:r>
    </w:p>
    <w:sectPr w:rsidR="00F34635" w:rsidRPr="00CB2D60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C7" w:rsidRDefault="00FF23C7" w:rsidP="000D3018">
      <w:pPr>
        <w:spacing w:after="0" w:line="240" w:lineRule="auto"/>
      </w:pPr>
      <w:r>
        <w:separator/>
      </w:r>
    </w:p>
  </w:endnote>
  <w:endnote w:type="continuationSeparator" w:id="0">
    <w:p w:rsidR="00FF23C7" w:rsidRDefault="00FF23C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C7" w:rsidRDefault="00FF23C7" w:rsidP="000D3018">
      <w:pPr>
        <w:spacing w:after="0" w:line="240" w:lineRule="auto"/>
      </w:pPr>
      <w:r>
        <w:separator/>
      </w:r>
    </w:p>
  </w:footnote>
  <w:footnote w:type="continuationSeparator" w:id="0">
    <w:p w:rsidR="00FF23C7" w:rsidRDefault="00FF23C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4B06405" wp14:editId="2DFA07B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AA049E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A049E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526253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526253" w:rsidRDefault="00C66CB8" w:rsidP="00EA1D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A2B"/>
    <w:multiLevelType w:val="hybridMultilevel"/>
    <w:tmpl w:val="149ADAE6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6E9"/>
    <w:multiLevelType w:val="hybridMultilevel"/>
    <w:tmpl w:val="36B294C0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F46C8"/>
    <w:multiLevelType w:val="hybridMultilevel"/>
    <w:tmpl w:val="B3703CC6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D520E37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A311E"/>
    <w:multiLevelType w:val="hybridMultilevel"/>
    <w:tmpl w:val="8F203EA0"/>
    <w:lvl w:ilvl="0" w:tplc="DA8A64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DC"/>
    <w:multiLevelType w:val="hybridMultilevel"/>
    <w:tmpl w:val="1AB4F572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120ED3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31BC"/>
    <w:rsid w:val="00030366"/>
    <w:rsid w:val="000569CD"/>
    <w:rsid w:val="00064F07"/>
    <w:rsid w:val="00084138"/>
    <w:rsid w:val="000845B4"/>
    <w:rsid w:val="00084CC5"/>
    <w:rsid w:val="000A4C23"/>
    <w:rsid w:val="000A5340"/>
    <w:rsid w:val="000A66F0"/>
    <w:rsid w:val="000A727A"/>
    <w:rsid w:val="000B66C2"/>
    <w:rsid w:val="000C45DF"/>
    <w:rsid w:val="000C797F"/>
    <w:rsid w:val="000D3018"/>
    <w:rsid w:val="001141BD"/>
    <w:rsid w:val="00161738"/>
    <w:rsid w:val="00162A86"/>
    <w:rsid w:val="00182226"/>
    <w:rsid w:val="00192FBE"/>
    <w:rsid w:val="001C0456"/>
    <w:rsid w:val="001E66BE"/>
    <w:rsid w:val="001F52CE"/>
    <w:rsid w:val="002009A7"/>
    <w:rsid w:val="00201A2C"/>
    <w:rsid w:val="0022109C"/>
    <w:rsid w:val="00242AE2"/>
    <w:rsid w:val="002552CC"/>
    <w:rsid w:val="002A707B"/>
    <w:rsid w:val="002B6F2D"/>
    <w:rsid w:val="002C1DA1"/>
    <w:rsid w:val="002C470D"/>
    <w:rsid w:val="003025C6"/>
    <w:rsid w:val="00307460"/>
    <w:rsid w:val="0033711F"/>
    <w:rsid w:val="00340E3E"/>
    <w:rsid w:val="003603BD"/>
    <w:rsid w:val="00382105"/>
    <w:rsid w:val="003B0AB4"/>
    <w:rsid w:val="003D1B25"/>
    <w:rsid w:val="00403334"/>
    <w:rsid w:val="00410990"/>
    <w:rsid w:val="00423CD3"/>
    <w:rsid w:val="00475C51"/>
    <w:rsid w:val="004852FF"/>
    <w:rsid w:val="00493FAD"/>
    <w:rsid w:val="004B64C4"/>
    <w:rsid w:val="004C614C"/>
    <w:rsid w:val="005022A4"/>
    <w:rsid w:val="00525CF0"/>
    <w:rsid w:val="00526253"/>
    <w:rsid w:val="00536020"/>
    <w:rsid w:val="00596B43"/>
    <w:rsid w:val="00605607"/>
    <w:rsid w:val="006831FB"/>
    <w:rsid w:val="006E2E12"/>
    <w:rsid w:val="006F4B5D"/>
    <w:rsid w:val="007067EA"/>
    <w:rsid w:val="00722077"/>
    <w:rsid w:val="00763B61"/>
    <w:rsid w:val="0078447A"/>
    <w:rsid w:val="007900B0"/>
    <w:rsid w:val="007B41EE"/>
    <w:rsid w:val="007D1264"/>
    <w:rsid w:val="007D6F34"/>
    <w:rsid w:val="007E7DE9"/>
    <w:rsid w:val="00802D08"/>
    <w:rsid w:val="00811C21"/>
    <w:rsid w:val="008169D7"/>
    <w:rsid w:val="00835230"/>
    <w:rsid w:val="00854427"/>
    <w:rsid w:val="00863F7E"/>
    <w:rsid w:val="008B04FA"/>
    <w:rsid w:val="008B60F2"/>
    <w:rsid w:val="008C25AD"/>
    <w:rsid w:val="008C6678"/>
    <w:rsid w:val="008E62C4"/>
    <w:rsid w:val="00904001"/>
    <w:rsid w:val="00922A18"/>
    <w:rsid w:val="00931DC8"/>
    <w:rsid w:val="0094282D"/>
    <w:rsid w:val="00981949"/>
    <w:rsid w:val="009C2BAB"/>
    <w:rsid w:val="009E46CE"/>
    <w:rsid w:val="00A12FB7"/>
    <w:rsid w:val="00A23A62"/>
    <w:rsid w:val="00A5295A"/>
    <w:rsid w:val="00A95D9A"/>
    <w:rsid w:val="00AA049E"/>
    <w:rsid w:val="00AB396C"/>
    <w:rsid w:val="00AB594B"/>
    <w:rsid w:val="00B017C0"/>
    <w:rsid w:val="00B24F65"/>
    <w:rsid w:val="00B42576"/>
    <w:rsid w:val="00B45EA6"/>
    <w:rsid w:val="00B76E53"/>
    <w:rsid w:val="00BB3994"/>
    <w:rsid w:val="00BE5F16"/>
    <w:rsid w:val="00C10B59"/>
    <w:rsid w:val="00C34E92"/>
    <w:rsid w:val="00C41C9D"/>
    <w:rsid w:val="00C42380"/>
    <w:rsid w:val="00C54532"/>
    <w:rsid w:val="00C57B27"/>
    <w:rsid w:val="00C66CB8"/>
    <w:rsid w:val="00C7711D"/>
    <w:rsid w:val="00C818FA"/>
    <w:rsid w:val="00C86A8D"/>
    <w:rsid w:val="00CA3525"/>
    <w:rsid w:val="00CB2D60"/>
    <w:rsid w:val="00CB4F43"/>
    <w:rsid w:val="00CC1FA0"/>
    <w:rsid w:val="00CE5AA1"/>
    <w:rsid w:val="00D07EA5"/>
    <w:rsid w:val="00D51D53"/>
    <w:rsid w:val="00DA6257"/>
    <w:rsid w:val="00DF1594"/>
    <w:rsid w:val="00E537A8"/>
    <w:rsid w:val="00E74B97"/>
    <w:rsid w:val="00EA1D72"/>
    <w:rsid w:val="00EC5014"/>
    <w:rsid w:val="00EE1DDF"/>
    <w:rsid w:val="00EE6677"/>
    <w:rsid w:val="00EF3171"/>
    <w:rsid w:val="00EF604C"/>
    <w:rsid w:val="00F34635"/>
    <w:rsid w:val="00F5426E"/>
    <w:rsid w:val="00F616BF"/>
    <w:rsid w:val="00F6189A"/>
    <w:rsid w:val="00F77443"/>
    <w:rsid w:val="00FD2497"/>
    <w:rsid w:val="00FD41F6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cijaln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B8B2-797B-40BF-9423-D494CFA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Snezana Micin</cp:lastModifiedBy>
  <cp:revision>3</cp:revision>
  <cp:lastPrinted>2017-05-17T09:30:00Z</cp:lastPrinted>
  <dcterms:created xsi:type="dcterms:W3CDTF">2018-04-12T09:01:00Z</dcterms:created>
  <dcterms:modified xsi:type="dcterms:W3CDTF">2018-04-12T09:02:00Z</dcterms:modified>
</cp:coreProperties>
</file>